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line="360" w:lineRule="auto"/>
        <w:ind w:firstLine="536" w:firstLineChars="200"/>
        <w:rPr>
          <w:rFonts w:hint="eastAsia" w:ascii="仿宋_GB2312" w:hAnsi="仿宋_GB2312" w:eastAsia="仿宋_GB2312"/>
          <w:color w:val="auto"/>
          <w:spacing w:val="-6"/>
          <w:sz w:val="28"/>
          <w:szCs w:val="28"/>
          <w:highlight w:val="none"/>
        </w:rPr>
      </w:pPr>
    </w:p>
    <w:p>
      <w:pPr>
        <w:spacing w:line="360" w:lineRule="auto"/>
        <w:jc w:val="center"/>
        <w:rPr>
          <w:rFonts w:ascii="仿宋_GB2312" w:hAnsi="仿宋_GB2312" w:eastAsia="仿宋_GB2312"/>
          <w:b/>
          <w:bCs/>
          <w:color w:val="auto"/>
          <w:sz w:val="48"/>
          <w:szCs w:val="48"/>
          <w:highlight w:val="none"/>
        </w:rPr>
      </w:pPr>
    </w:p>
    <w:p>
      <w:pPr>
        <w:spacing w:line="360" w:lineRule="auto"/>
        <w:jc w:val="center"/>
        <w:rPr>
          <w:rFonts w:hint="eastAsia" w:ascii="仿宋_GB2312" w:hAnsi="仿宋_GB2312" w:eastAsia="仿宋_GB2312"/>
          <w:b/>
          <w:bCs/>
          <w:color w:val="auto"/>
          <w:sz w:val="48"/>
          <w:szCs w:val="48"/>
          <w:highlight w:val="none"/>
          <w:lang w:val="en-US" w:eastAsia="zh-CN"/>
        </w:rPr>
      </w:pPr>
      <w:r>
        <w:rPr>
          <w:rFonts w:hint="eastAsia" w:ascii="仿宋_GB2312" w:hAnsi="仿宋_GB2312" w:eastAsia="仿宋_GB2312"/>
          <w:b/>
          <w:bCs/>
          <w:color w:val="auto"/>
          <w:sz w:val="48"/>
          <w:szCs w:val="48"/>
          <w:highlight w:val="none"/>
          <w:lang w:val="en-US" w:eastAsia="zh-CN"/>
        </w:rPr>
        <w:t>“平安黄骅港”建设交通信号灯安装单位</w:t>
      </w:r>
    </w:p>
    <w:p>
      <w:pPr>
        <w:spacing w:line="360" w:lineRule="auto"/>
        <w:jc w:val="center"/>
        <w:rPr>
          <w:rFonts w:ascii="仿宋_GB2312" w:hAnsi="仿宋_GB2312" w:eastAsia="仿宋_GB2312"/>
          <w:b/>
          <w:bCs/>
          <w:color w:val="auto"/>
          <w:sz w:val="48"/>
          <w:szCs w:val="48"/>
          <w:highlight w:val="none"/>
        </w:rPr>
      </w:pPr>
    </w:p>
    <w:p>
      <w:pPr>
        <w:spacing w:line="360" w:lineRule="auto"/>
        <w:jc w:val="center"/>
        <w:rPr>
          <w:rFonts w:ascii="仿宋_GB2312" w:hAnsi="仿宋_GB2312" w:eastAsia="仿宋_GB2312"/>
          <w:b/>
          <w:bCs/>
          <w:color w:val="auto"/>
          <w:sz w:val="48"/>
          <w:szCs w:val="48"/>
          <w:highlight w:val="none"/>
        </w:rPr>
      </w:pPr>
    </w:p>
    <w:p>
      <w:pPr>
        <w:adjustRightInd w:val="0"/>
        <w:spacing w:after="156" w:afterLines="50" w:line="360" w:lineRule="auto"/>
        <w:ind w:firstLine="536" w:firstLineChars="200"/>
        <w:rPr>
          <w:rFonts w:ascii="仿宋_GB2312" w:hAnsi="仿宋_GB2312" w:eastAsia="仿宋_GB2312"/>
          <w:color w:val="auto"/>
          <w:spacing w:val="-6"/>
          <w:sz w:val="28"/>
          <w:szCs w:val="28"/>
          <w:highlight w:val="none"/>
        </w:rPr>
      </w:pPr>
    </w:p>
    <w:p>
      <w:pPr>
        <w:spacing w:line="36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比  选  文  件</w:t>
      </w:r>
    </w:p>
    <w:p>
      <w:pPr>
        <w:adjustRightInd w:val="0"/>
        <w:spacing w:after="156" w:afterLines="50" w:line="360" w:lineRule="auto"/>
        <w:ind w:firstLine="936" w:firstLineChars="200"/>
        <w:jc w:val="center"/>
        <w:rPr>
          <w:rFonts w:ascii="仿宋_GB2312" w:hAnsi="仿宋_GB2312" w:eastAsia="仿宋_GB2312"/>
          <w:color w:val="auto"/>
          <w:spacing w:val="-6"/>
          <w:sz w:val="48"/>
          <w:szCs w:val="48"/>
          <w:highlight w:val="none"/>
        </w:rPr>
      </w:pPr>
    </w:p>
    <w:p>
      <w:pPr>
        <w:adjustRightInd w:val="0"/>
        <w:spacing w:after="156" w:afterLines="50" w:line="360" w:lineRule="auto"/>
        <w:ind w:firstLine="536" w:firstLineChars="200"/>
        <w:jc w:val="center"/>
        <w:rPr>
          <w:rFonts w:ascii="仿宋_GB2312" w:hAnsi="仿宋_GB2312" w:eastAsia="仿宋_GB2312"/>
          <w:color w:val="auto"/>
          <w:spacing w:val="-6"/>
          <w:sz w:val="28"/>
          <w:szCs w:val="28"/>
          <w:highlight w:val="none"/>
        </w:rPr>
      </w:pPr>
    </w:p>
    <w:p>
      <w:pPr>
        <w:pStyle w:val="16"/>
        <w:rPr>
          <w:rFonts w:ascii="仿宋_GB2312" w:hAnsi="仿宋_GB2312" w:eastAsia="仿宋_GB2312"/>
          <w:color w:val="auto"/>
          <w:spacing w:val="-6"/>
          <w:sz w:val="28"/>
          <w:szCs w:val="28"/>
          <w:highlight w:val="none"/>
        </w:rPr>
      </w:pPr>
    </w:p>
    <w:p>
      <w:pPr>
        <w:pStyle w:val="16"/>
        <w:rPr>
          <w:rFonts w:ascii="仿宋_GB2312" w:hAnsi="仿宋_GB2312" w:eastAsia="仿宋_GB2312"/>
          <w:color w:val="auto"/>
          <w:spacing w:val="-6"/>
          <w:sz w:val="28"/>
          <w:szCs w:val="28"/>
          <w:highlight w:val="none"/>
        </w:rPr>
      </w:pPr>
    </w:p>
    <w:p>
      <w:pPr>
        <w:tabs>
          <w:tab w:val="left" w:pos="2445"/>
        </w:tabs>
        <w:adjustRightInd w:val="0"/>
        <w:spacing w:after="156" w:afterLines="50" w:line="360" w:lineRule="auto"/>
        <w:rPr>
          <w:rFonts w:ascii="仿宋_GB2312" w:hAnsi="仿宋_GB2312" w:eastAsia="仿宋_GB2312"/>
          <w:b/>
          <w:color w:val="auto"/>
          <w:spacing w:val="-6"/>
          <w:sz w:val="32"/>
          <w:szCs w:val="32"/>
          <w:highlight w:val="none"/>
        </w:rPr>
      </w:pPr>
    </w:p>
    <w:p>
      <w:pPr>
        <w:pStyle w:val="16"/>
        <w:rPr>
          <w:rFonts w:ascii="仿宋_GB2312" w:hAnsi="仿宋_GB2312" w:eastAsia="仿宋_GB2312"/>
          <w:b/>
          <w:color w:val="auto"/>
          <w:spacing w:val="-6"/>
          <w:sz w:val="32"/>
          <w:szCs w:val="32"/>
          <w:highlight w:val="none"/>
        </w:rPr>
      </w:pPr>
    </w:p>
    <w:p>
      <w:pPr>
        <w:pStyle w:val="16"/>
        <w:rPr>
          <w:rFonts w:ascii="仿宋_GB2312" w:hAnsi="仿宋_GB2312" w:eastAsia="仿宋_GB2312"/>
          <w:b/>
          <w:color w:val="auto"/>
          <w:spacing w:val="-6"/>
          <w:sz w:val="32"/>
          <w:szCs w:val="32"/>
          <w:highlight w:val="none"/>
        </w:rPr>
      </w:pPr>
    </w:p>
    <w:p>
      <w:pPr>
        <w:tabs>
          <w:tab w:val="left" w:pos="2445"/>
        </w:tabs>
        <w:adjustRightInd w:val="0"/>
        <w:spacing w:after="156" w:afterLines="50" w:line="360" w:lineRule="auto"/>
        <w:jc w:val="center"/>
        <w:rPr>
          <w:rFonts w:ascii="Times New Roman" w:hAnsi="Times New Roman"/>
          <w:color w:val="auto"/>
          <w:spacing w:val="12"/>
          <w:sz w:val="28"/>
          <w:szCs w:val="28"/>
          <w:highlight w:val="none"/>
        </w:rPr>
      </w:pPr>
      <w:r>
        <w:rPr>
          <w:rFonts w:hint="eastAsia" w:ascii="仿宋_GB2312" w:hAnsi="仿宋_GB2312" w:eastAsia="仿宋_GB2312"/>
          <w:b/>
          <w:color w:val="auto"/>
          <w:spacing w:val="-6"/>
          <w:sz w:val="32"/>
          <w:szCs w:val="32"/>
          <w:highlight w:val="none"/>
        </w:rPr>
        <w:t>比 选 人：沧州港务</w:t>
      </w:r>
      <w:r>
        <w:rPr>
          <w:rFonts w:hint="eastAsia" w:ascii="仿宋_GB2312" w:hAnsi="仿宋_GB2312" w:eastAsia="仿宋_GB2312"/>
          <w:b/>
          <w:color w:val="auto"/>
          <w:spacing w:val="-6"/>
          <w:sz w:val="32"/>
          <w:szCs w:val="32"/>
          <w:highlight w:val="none"/>
          <w:lang w:eastAsia="zh-CN"/>
        </w:rPr>
        <w:t>集团</w:t>
      </w:r>
      <w:r>
        <w:rPr>
          <w:rFonts w:hint="eastAsia" w:ascii="仿宋_GB2312" w:hAnsi="仿宋_GB2312" w:eastAsia="仿宋_GB2312"/>
          <w:b/>
          <w:color w:val="auto"/>
          <w:spacing w:val="-6"/>
          <w:sz w:val="32"/>
          <w:szCs w:val="32"/>
          <w:highlight w:val="none"/>
        </w:rPr>
        <w:t>有限公司</w:t>
      </w:r>
    </w:p>
    <w:p>
      <w:pPr>
        <w:tabs>
          <w:tab w:val="left" w:pos="2445"/>
        </w:tabs>
        <w:adjustRightInd w:val="0"/>
        <w:spacing w:after="156" w:afterLines="50" w:line="360" w:lineRule="auto"/>
        <w:jc w:val="center"/>
        <w:rPr>
          <w:rFonts w:hint="default" w:ascii="仿宋_GB2312" w:hAnsi="仿宋_GB2312" w:eastAsia="仿宋_GB2312"/>
          <w:b/>
          <w:color w:val="auto"/>
          <w:spacing w:val="-6"/>
          <w:sz w:val="32"/>
          <w:szCs w:val="32"/>
          <w:highlight w:val="none"/>
          <w:lang w:val="en-US" w:eastAsia="zh-CN"/>
        </w:rPr>
        <w:sectPr>
          <w:pgSz w:w="11906" w:h="16838"/>
          <w:pgMar w:top="1588" w:right="1148" w:bottom="1588" w:left="1467" w:header="851" w:footer="992" w:gutter="0"/>
          <w:pgNumType w:start="0"/>
          <w:cols w:space="720" w:num="1"/>
          <w:titlePg/>
          <w:docGrid w:type="lines" w:linePitch="312" w:charSpace="0"/>
        </w:sectPr>
      </w:pPr>
      <w:r>
        <w:rPr>
          <w:rFonts w:hint="eastAsia" w:ascii="仿宋_GB2312" w:hAnsi="仿宋_GB2312" w:eastAsia="仿宋_GB2312"/>
          <w:b/>
          <w:color w:val="auto"/>
          <w:spacing w:val="-6"/>
          <w:sz w:val="32"/>
          <w:szCs w:val="32"/>
          <w:highlight w:val="none"/>
        </w:rPr>
        <w:t xml:space="preserve"> 二〇</w:t>
      </w:r>
      <w:r>
        <w:rPr>
          <w:rFonts w:hint="eastAsia" w:ascii="仿宋_GB2312" w:hAnsi="仿宋_GB2312" w:eastAsia="仿宋_GB2312"/>
          <w:b/>
          <w:color w:val="auto"/>
          <w:spacing w:val="-6"/>
          <w:sz w:val="32"/>
          <w:szCs w:val="32"/>
          <w:highlight w:val="none"/>
          <w:lang w:val="en-US" w:eastAsia="zh-CN"/>
        </w:rPr>
        <w:t>二四</w:t>
      </w:r>
      <w:r>
        <w:rPr>
          <w:rFonts w:hint="eastAsia" w:ascii="仿宋_GB2312" w:hAnsi="仿宋_GB2312" w:eastAsia="仿宋_GB2312"/>
          <w:b/>
          <w:color w:val="auto"/>
          <w:spacing w:val="-6"/>
          <w:sz w:val="32"/>
          <w:szCs w:val="32"/>
          <w:highlight w:val="none"/>
        </w:rPr>
        <w:t>年</w:t>
      </w:r>
      <w:r>
        <w:rPr>
          <w:rFonts w:hint="eastAsia" w:ascii="仿宋_GB2312" w:hAnsi="仿宋_GB2312" w:eastAsia="仿宋_GB2312"/>
          <w:b/>
          <w:color w:val="auto"/>
          <w:spacing w:val="-6"/>
          <w:sz w:val="32"/>
          <w:szCs w:val="32"/>
          <w:highlight w:val="none"/>
          <w:lang w:eastAsia="zh-CN"/>
        </w:rPr>
        <w:t>四月</w:t>
      </w:r>
      <w:r>
        <w:rPr>
          <w:rFonts w:hint="eastAsia" w:ascii="仿宋_GB2312" w:hAnsi="仿宋_GB2312" w:eastAsia="仿宋_GB2312"/>
          <w:b/>
          <w:color w:val="auto"/>
          <w:spacing w:val="-6"/>
          <w:sz w:val="32"/>
          <w:szCs w:val="32"/>
          <w:highlight w:val="none"/>
          <w:lang w:val="en-US" w:eastAsia="zh-CN"/>
        </w:rPr>
        <w:t>三十日</w:t>
      </w:r>
    </w:p>
    <w:p>
      <w:pPr>
        <w:tabs>
          <w:tab w:val="left" w:pos="2445"/>
        </w:tabs>
        <w:adjustRightInd w:val="0"/>
        <w:spacing w:after="156" w:afterLines="50" w:line="360" w:lineRule="auto"/>
        <w:jc w:val="both"/>
        <w:rPr>
          <w:rFonts w:hint="eastAsia" w:ascii="仿宋_GB2312" w:hAnsi="仿宋_GB2312" w:eastAsia="仿宋_GB2312"/>
          <w:b/>
          <w:color w:val="auto"/>
          <w:spacing w:val="-6"/>
          <w:sz w:val="32"/>
          <w:szCs w:val="32"/>
          <w:highlight w:val="none"/>
          <w:lang w:eastAsia="zh-CN"/>
        </w:rPr>
        <w:sectPr>
          <w:pgSz w:w="11906" w:h="16838"/>
          <w:pgMar w:top="1588" w:right="1148" w:bottom="1588" w:left="1467" w:header="851" w:footer="992" w:gutter="0"/>
          <w:pgNumType w:start="0"/>
          <w:cols w:space="720" w:num="1"/>
          <w:titlePg/>
          <w:docGrid w:type="lines" w:linePitch="312" w:charSpace="0"/>
        </w:sectPr>
      </w:pPr>
    </w:p>
    <w:p>
      <w:pPr>
        <w:pStyle w:val="2"/>
        <w:rPr>
          <w:rFonts w:hint="eastAsia" w:ascii="宋体" w:hAnsi="宋体" w:cs="宋体"/>
          <w:color w:val="auto"/>
          <w:highlight w:val="none"/>
        </w:rPr>
      </w:pPr>
      <w:bookmarkStart w:id="0" w:name="_Toc19131"/>
      <w:r>
        <w:rPr>
          <w:rFonts w:hint="eastAsia" w:ascii="宋体" w:hAnsi="宋体" w:cs="宋体"/>
          <w:color w:val="auto"/>
          <w:highlight w:val="none"/>
        </w:rPr>
        <w:t>第一章</w:t>
      </w:r>
      <w:bookmarkEnd w:id="0"/>
    </w:p>
    <w:p>
      <w:pPr>
        <w:pStyle w:val="2"/>
        <w:rPr>
          <w:rFonts w:hint="eastAsia" w:ascii="宋体" w:hAnsi="宋体" w:cs="宋体"/>
          <w:color w:val="auto"/>
          <w:highlight w:val="none"/>
          <w:lang w:val="en-US" w:eastAsia="zh-CN"/>
        </w:rPr>
      </w:pPr>
      <w:bookmarkStart w:id="1" w:name="_Toc29575"/>
      <w:r>
        <w:rPr>
          <w:rFonts w:hint="eastAsia" w:ascii="宋体" w:hAnsi="宋体" w:cs="宋体"/>
          <w:color w:val="auto"/>
          <w:highlight w:val="none"/>
          <w:lang w:val="en-US" w:eastAsia="zh-CN"/>
        </w:rPr>
        <w:t>“平安黄骅港”建设交通信号灯安装单位</w:t>
      </w:r>
    </w:p>
    <w:p>
      <w:pPr>
        <w:pStyle w:val="2"/>
        <w:rPr>
          <w:rFonts w:hint="eastAsia" w:ascii="宋体" w:hAnsi="宋体" w:cs="宋体"/>
          <w:color w:val="auto"/>
          <w:highlight w:val="none"/>
        </w:rPr>
      </w:pPr>
      <w:r>
        <w:rPr>
          <w:rFonts w:hint="eastAsia" w:ascii="宋体" w:hAnsi="宋体" w:cs="宋体"/>
          <w:color w:val="auto"/>
          <w:highlight w:val="none"/>
        </w:rPr>
        <w:t>比选公告</w:t>
      </w:r>
      <w:bookmarkEnd w:id="1"/>
    </w:p>
    <w:p>
      <w:pPr>
        <w:rPr>
          <w:color w:val="auto"/>
          <w:sz w:val="28"/>
          <w:szCs w:val="28"/>
          <w:highlight w:val="none"/>
        </w:rPr>
      </w:pPr>
    </w:p>
    <w:p>
      <w:pPr>
        <w:widowControl/>
        <w:spacing w:line="360" w:lineRule="auto"/>
        <w:ind w:firstLine="578"/>
        <w:jc w:val="left"/>
        <w:rPr>
          <w:rFonts w:hint="eastAsia" w:ascii="仿宋_GB2312" w:hAnsi="仿宋" w:eastAsia="仿宋_GB2312" w:cs="宋体"/>
          <w:color w:val="auto"/>
          <w:sz w:val="28"/>
          <w:szCs w:val="28"/>
          <w:highlight w:val="none"/>
        </w:rPr>
      </w:pP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eastAsia="zh-CN"/>
        </w:rPr>
        <w:t>集团</w:t>
      </w:r>
      <w:r>
        <w:rPr>
          <w:rFonts w:hint="eastAsia" w:ascii="仿宋_GB2312" w:hAnsi="仿宋" w:eastAsia="仿宋_GB2312" w:cs="宋体"/>
          <w:color w:val="auto"/>
          <w:spacing w:val="4"/>
          <w:sz w:val="28"/>
          <w:szCs w:val="28"/>
          <w:highlight w:val="none"/>
          <w:u w:val="single"/>
        </w:rPr>
        <w:t>有限公司</w:t>
      </w:r>
      <w:r>
        <w:rPr>
          <w:rFonts w:hint="eastAsia" w:ascii="仿宋_GB2312" w:hAnsi="仿宋" w:eastAsia="仿宋_GB2312" w:cs="宋体"/>
          <w:color w:val="auto"/>
          <w:spacing w:val="4"/>
          <w:sz w:val="28"/>
          <w:szCs w:val="28"/>
          <w:highlight w:val="none"/>
        </w:rPr>
        <w:t>作为比选人，对符合资格条件的</w:t>
      </w:r>
      <w:r>
        <w:rPr>
          <w:rFonts w:hint="eastAsia" w:ascii="仿宋_GB2312" w:hAnsi="仿宋" w:eastAsia="仿宋_GB2312" w:cs="宋体"/>
          <w:color w:val="auto"/>
          <w:spacing w:val="4"/>
          <w:sz w:val="28"/>
          <w:szCs w:val="28"/>
          <w:highlight w:val="none"/>
          <w:lang w:eastAsia="zh-CN"/>
        </w:rPr>
        <w:t>供应</w:t>
      </w:r>
      <w:r>
        <w:rPr>
          <w:rFonts w:hint="eastAsia" w:ascii="仿宋_GB2312" w:hAnsi="仿宋" w:eastAsia="仿宋_GB2312" w:cs="宋体"/>
          <w:color w:val="auto"/>
          <w:spacing w:val="4"/>
          <w:sz w:val="28"/>
          <w:szCs w:val="28"/>
          <w:highlight w:val="none"/>
        </w:rPr>
        <w:t>单位进行公开比选，为黄骅港综合港区</w:t>
      </w:r>
      <w:r>
        <w:rPr>
          <w:rFonts w:hint="eastAsia" w:ascii="仿宋_GB2312" w:hAnsi="仿宋" w:eastAsia="仿宋_GB2312" w:cs="宋体"/>
          <w:color w:val="auto"/>
          <w:spacing w:val="4"/>
          <w:sz w:val="28"/>
          <w:szCs w:val="28"/>
          <w:highlight w:val="none"/>
          <w:lang w:val="en-US" w:eastAsia="zh-CN"/>
        </w:rPr>
        <w:t>“平安黄骅港”建设安装交通信号灯</w:t>
      </w:r>
      <w:r>
        <w:rPr>
          <w:rFonts w:hint="eastAsia" w:ascii="仿宋_GB2312" w:hAnsi="仿宋" w:eastAsia="仿宋_GB2312" w:cs="宋体"/>
          <w:color w:val="auto"/>
          <w:spacing w:val="4"/>
          <w:sz w:val="28"/>
          <w:szCs w:val="28"/>
          <w:highlight w:val="none"/>
        </w:rPr>
        <w:t>。</w:t>
      </w:r>
    </w:p>
    <w:p>
      <w:pPr>
        <w:widowControl/>
        <w:spacing w:line="360" w:lineRule="auto"/>
        <w:ind w:firstLine="578" w:firstLineChars="200"/>
        <w:jc w:val="left"/>
        <w:rPr>
          <w:rFonts w:hint="eastAsia" w:ascii="仿宋_GB2312" w:hAnsi="仿宋" w:eastAsia="仿宋_GB2312" w:cs="宋体"/>
          <w:b/>
          <w:color w:val="auto"/>
          <w:spacing w:val="4"/>
          <w:sz w:val="28"/>
          <w:szCs w:val="28"/>
          <w:highlight w:val="none"/>
        </w:rPr>
      </w:pPr>
      <w:r>
        <w:rPr>
          <w:rFonts w:hint="eastAsia" w:ascii="仿宋_GB2312" w:hAnsi="仿宋" w:eastAsia="仿宋_GB2312" w:cs="宋体"/>
          <w:b/>
          <w:color w:val="auto"/>
          <w:spacing w:val="4"/>
          <w:sz w:val="28"/>
          <w:szCs w:val="28"/>
          <w:highlight w:val="none"/>
        </w:rPr>
        <w:t>1.1项目概况</w:t>
      </w:r>
    </w:p>
    <w:p>
      <w:pPr>
        <w:widowControl/>
        <w:spacing w:line="240" w:lineRule="auto"/>
        <w:ind w:firstLine="576" w:firstLineChars="200"/>
        <w:jc w:val="left"/>
        <w:rPr>
          <w:rFonts w:hint="eastAsia" w:ascii="仿宋_GB2312" w:hAnsi="仿宋" w:eastAsia="仿宋_GB2312" w:cs="宋体"/>
          <w:color w:val="auto"/>
          <w:spacing w:val="4"/>
          <w:sz w:val="28"/>
          <w:szCs w:val="28"/>
          <w:highlight w:val="none"/>
          <w:lang w:val="en-US" w:eastAsia="zh-CN"/>
        </w:rPr>
      </w:pPr>
      <w:r>
        <w:rPr>
          <w:rFonts w:hint="eastAsia" w:ascii="仿宋_GB2312" w:hAnsi="仿宋" w:eastAsia="仿宋_GB2312" w:cs="宋体"/>
          <w:color w:val="auto"/>
          <w:spacing w:val="4"/>
          <w:sz w:val="28"/>
          <w:szCs w:val="28"/>
          <w:highlight w:val="none"/>
          <w:lang w:val="en-US" w:eastAsia="zh-CN"/>
        </w:rPr>
        <w:t>为贯彻落实沧州市“平安黄骅港”工作部署，按照《沧州市加快建设多功能综合性现代化大港工作措施》《沧州市全力打造“平安黄骅港”的若干措施》文件要求，充分发挥公安机关在港区安全环保综合整治中的积极作用，完善综合港区相关交通设施设备，便于港区交通秩序维护及治安管理工作，经结合公安部门相关意见，现需在综合港区内安装交通信号灯若干。</w:t>
      </w:r>
    </w:p>
    <w:p>
      <w:pPr>
        <w:widowControl/>
        <w:spacing w:line="240" w:lineRule="auto"/>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rPr>
        <w:t>本项目位于黄骅港综合港区</w:t>
      </w:r>
      <w:r>
        <w:rPr>
          <w:rFonts w:hint="eastAsia" w:ascii="仿宋_GB2312" w:hAnsi="仿宋" w:eastAsia="仿宋_GB2312" w:cs="宋体"/>
          <w:color w:val="auto"/>
          <w:spacing w:val="4"/>
          <w:sz w:val="28"/>
          <w:szCs w:val="28"/>
          <w:highlight w:val="none"/>
          <w:lang w:eastAsia="zh-CN"/>
        </w:rPr>
        <w:t>内</w:t>
      </w:r>
      <w:r>
        <w:rPr>
          <w:rFonts w:hint="eastAsia" w:ascii="仿宋_GB2312" w:hAnsi="仿宋" w:eastAsia="仿宋_GB2312" w:cs="宋体"/>
          <w:color w:val="auto"/>
          <w:spacing w:val="4"/>
          <w:sz w:val="28"/>
          <w:szCs w:val="28"/>
          <w:highlight w:val="none"/>
          <w:lang w:val="en-US" w:eastAsia="zh-CN"/>
        </w:rPr>
        <w:t>。</w:t>
      </w:r>
    </w:p>
    <w:p>
      <w:pPr>
        <w:widowControl/>
        <w:spacing w:line="360" w:lineRule="auto"/>
        <w:ind w:firstLine="576"/>
        <w:rPr>
          <w:rFonts w:hint="eastAsia" w:ascii="仿宋_GB2312" w:hAnsi="仿宋" w:eastAsia="仿宋_GB2312" w:cs="宋体"/>
          <w:color w:val="auto"/>
          <w:spacing w:val="4"/>
          <w:sz w:val="28"/>
          <w:szCs w:val="28"/>
          <w:highlight w:val="none"/>
          <w:lang w:eastAsia="zh-CN"/>
        </w:rPr>
      </w:pPr>
      <w:r>
        <w:rPr>
          <w:rFonts w:hint="eastAsia" w:ascii="仿宋_GB2312" w:hAnsi="仿宋" w:eastAsia="仿宋_GB2312" w:cs="宋体"/>
          <w:b w:val="0"/>
          <w:bCs w:val="0"/>
          <w:color w:val="auto"/>
          <w:spacing w:val="4"/>
          <w:sz w:val="28"/>
          <w:szCs w:val="28"/>
          <w:highlight w:val="none"/>
        </w:rPr>
        <w:t>1.2</w:t>
      </w:r>
      <w:r>
        <w:rPr>
          <w:rFonts w:hint="eastAsia" w:ascii="仿宋_GB2312" w:hAnsi="仿宋" w:eastAsia="仿宋_GB2312" w:cs="宋体"/>
          <w:color w:val="auto"/>
          <w:spacing w:val="4"/>
          <w:sz w:val="28"/>
          <w:szCs w:val="28"/>
          <w:highlight w:val="none"/>
        </w:rPr>
        <w:t>比选内容：确定</w:t>
      </w:r>
      <w:r>
        <w:rPr>
          <w:rFonts w:hint="eastAsia" w:ascii="仿宋_GB2312" w:hAnsi="仿宋" w:eastAsia="仿宋_GB2312" w:cs="宋体"/>
          <w:color w:val="auto"/>
          <w:spacing w:val="4"/>
          <w:sz w:val="28"/>
          <w:szCs w:val="28"/>
          <w:highlight w:val="none"/>
          <w:lang w:val="en-US" w:eastAsia="zh-CN"/>
        </w:rPr>
        <w:t>“平安黄骅港”建设交通信号灯安装单位</w:t>
      </w:r>
      <w:r>
        <w:rPr>
          <w:rFonts w:hint="eastAsia" w:ascii="仿宋_GB2312" w:hAnsi="仿宋" w:eastAsia="仿宋_GB2312" w:cs="宋体"/>
          <w:color w:val="auto"/>
          <w:spacing w:val="4"/>
          <w:sz w:val="28"/>
          <w:szCs w:val="28"/>
          <w:highlight w:val="none"/>
          <w:lang w:eastAsia="zh-CN"/>
        </w:rPr>
        <w:t>，该项目主要包括设计施工图范围内信号灯、监控摄像机等，具体以设计单位提供的设计施工图和</w:t>
      </w:r>
      <w:r>
        <w:rPr>
          <w:rFonts w:hint="eastAsia" w:ascii="仿宋_GB2312" w:hAnsi="仿宋" w:eastAsia="仿宋_GB2312" w:cs="宋体"/>
          <w:color w:val="auto"/>
          <w:spacing w:val="4"/>
          <w:sz w:val="28"/>
          <w:szCs w:val="28"/>
          <w:highlight w:val="none"/>
          <w:lang w:val="en-US" w:eastAsia="zh-CN"/>
        </w:rPr>
        <w:t>造价单位提供的</w:t>
      </w:r>
      <w:r>
        <w:rPr>
          <w:rFonts w:hint="eastAsia" w:ascii="仿宋_GB2312" w:hAnsi="仿宋" w:eastAsia="仿宋_GB2312" w:cs="宋体"/>
          <w:color w:val="auto"/>
          <w:spacing w:val="4"/>
          <w:sz w:val="28"/>
          <w:szCs w:val="28"/>
          <w:highlight w:val="none"/>
          <w:lang w:eastAsia="zh-CN"/>
        </w:rPr>
        <w:t>工程量清单为准。</w:t>
      </w:r>
    </w:p>
    <w:p>
      <w:pPr>
        <w:widowControl/>
        <w:spacing w:line="360" w:lineRule="auto"/>
        <w:ind w:firstLine="576" w:firstLineChars="200"/>
        <w:rPr>
          <w:rFonts w:ascii="仿宋_GB2312" w:hAnsi="仿宋" w:eastAsia="仿宋_GB2312"/>
          <w:color w:val="auto"/>
          <w:spacing w:val="4"/>
          <w:sz w:val="28"/>
          <w:szCs w:val="28"/>
          <w:highlight w:val="none"/>
        </w:rPr>
      </w:pPr>
      <w:r>
        <w:rPr>
          <w:rFonts w:hint="eastAsia" w:ascii="仿宋_GB2312" w:hAnsi="仿宋" w:eastAsia="仿宋_GB2312"/>
          <w:color w:val="auto"/>
          <w:spacing w:val="4"/>
          <w:sz w:val="28"/>
          <w:szCs w:val="28"/>
          <w:highlight w:val="none"/>
        </w:rPr>
        <w:t>1.3 服务周期：</w:t>
      </w:r>
      <w:r>
        <w:rPr>
          <w:rFonts w:hint="eastAsia" w:ascii="仿宋_GB2312" w:hAnsi="仿宋" w:eastAsia="仿宋_GB2312"/>
          <w:color w:val="auto"/>
          <w:spacing w:val="4"/>
          <w:sz w:val="28"/>
          <w:szCs w:val="28"/>
          <w:highlight w:val="none"/>
          <w:lang w:eastAsia="zh-CN"/>
        </w:rPr>
        <w:t>本项目服务周期为</w:t>
      </w:r>
      <w:r>
        <w:rPr>
          <w:rFonts w:hint="eastAsia" w:ascii="仿宋_GB2312" w:hAnsi="仿宋" w:eastAsia="仿宋_GB2312"/>
          <w:color w:val="auto"/>
          <w:spacing w:val="4"/>
          <w:sz w:val="28"/>
          <w:szCs w:val="28"/>
          <w:highlight w:val="none"/>
          <w:lang w:val="en-US" w:eastAsia="zh-CN"/>
        </w:rPr>
        <w:t>10天，</w:t>
      </w:r>
      <w:r>
        <w:rPr>
          <w:rFonts w:hint="eastAsia" w:ascii="仿宋_GB2312" w:hAnsi="仿宋" w:eastAsia="仿宋_GB2312"/>
          <w:color w:val="auto"/>
          <w:spacing w:val="4"/>
          <w:sz w:val="28"/>
          <w:szCs w:val="28"/>
          <w:highlight w:val="none"/>
        </w:rPr>
        <w:t>必须满足比选人要求。</w:t>
      </w:r>
    </w:p>
    <w:p>
      <w:pPr>
        <w:widowControl/>
        <w:spacing w:line="360" w:lineRule="auto"/>
        <w:ind w:firstLine="578" w:firstLineChars="200"/>
        <w:jc w:val="left"/>
        <w:rPr>
          <w:rFonts w:hint="eastAsia" w:ascii="仿宋_GB2312" w:hAnsi="仿宋" w:eastAsia="仿宋_GB2312" w:cs="宋体"/>
          <w:b/>
          <w:color w:val="auto"/>
          <w:spacing w:val="4"/>
          <w:sz w:val="28"/>
          <w:szCs w:val="28"/>
          <w:highlight w:val="none"/>
        </w:rPr>
      </w:pPr>
      <w:r>
        <w:rPr>
          <w:rFonts w:hint="eastAsia" w:ascii="仿宋_GB2312" w:hAnsi="仿宋" w:eastAsia="仿宋_GB2312" w:cs="宋体"/>
          <w:b/>
          <w:color w:val="auto"/>
          <w:spacing w:val="4"/>
          <w:sz w:val="28"/>
          <w:szCs w:val="28"/>
          <w:highlight w:val="none"/>
        </w:rPr>
        <w:t>1.4比选申请人资格条件</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1.4.1资质要求：本次比选要求比选人须具有独立</w:t>
      </w:r>
      <w:r>
        <w:rPr>
          <w:rFonts w:hint="eastAsia" w:ascii="仿宋_GB2312" w:hAnsi="仿宋" w:eastAsia="仿宋_GB2312" w:cs="宋体"/>
          <w:snapToGrid/>
          <w:color w:val="auto"/>
          <w:spacing w:val="4"/>
          <w:sz w:val="28"/>
          <w:szCs w:val="28"/>
          <w:highlight w:val="none"/>
        </w:rPr>
        <w:t>法人</w:t>
      </w:r>
      <w:r>
        <w:rPr>
          <w:rFonts w:hint="eastAsia" w:ascii="仿宋_GB2312" w:hAnsi="仿宋" w:eastAsia="仿宋_GB2312" w:cs="宋体"/>
          <w:snapToGrid/>
          <w:color w:val="auto"/>
          <w:spacing w:val="4"/>
          <w:sz w:val="28"/>
          <w:szCs w:val="28"/>
          <w:highlight w:val="none"/>
          <w:lang w:eastAsia="zh-CN"/>
        </w:rPr>
        <w:t>资格。</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1.4.2业绩要求：近五年来（2019年5月至今）独立完成过单项合同工程造价50万或以上（含50万）类似红绿灯交通工程施工业绩不少于1个（注：以合同签订日期为准）。</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1.4.</w:t>
      </w:r>
      <w:r>
        <w:rPr>
          <w:rFonts w:hint="eastAsia" w:ascii="仿宋_GB2312" w:hAnsi="仿宋" w:eastAsia="仿宋_GB2312" w:cs="宋体"/>
          <w:snapToGrid/>
          <w:color w:val="auto"/>
          <w:spacing w:val="4"/>
          <w:sz w:val="28"/>
          <w:szCs w:val="28"/>
          <w:highlight w:val="none"/>
          <w:lang w:val="en-US" w:eastAsia="zh-CN"/>
        </w:rPr>
        <w:t>3信誉要求：</w:t>
      </w:r>
      <w:r>
        <w:rPr>
          <w:rFonts w:hint="eastAsia" w:ascii="仿宋_GB2312" w:hAnsi="仿宋" w:eastAsia="仿宋_GB2312" w:cs="宋体"/>
          <w:snapToGrid/>
          <w:color w:val="auto"/>
          <w:spacing w:val="4"/>
          <w:sz w:val="28"/>
          <w:szCs w:val="28"/>
          <w:highlight w:val="none"/>
        </w:rPr>
        <w:t>在“信用中国”网站（www.creditchina.gov.cn）中未被列入失信被执行人名单、企业经营异常情况名录、重大税收违法案件当事人名单。</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1.4.</w:t>
      </w:r>
      <w:r>
        <w:rPr>
          <w:rFonts w:hint="eastAsia" w:ascii="仿宋_GB2312" w:hAnsi="仿宋" w:eastAsia="仿宋_GB2312" w:cs="宋体"/>
          <w:snapToGrid/>
          <w:color w:val="auto"/>
          <w:spacing w:val="4"/>
          <w:sz w:val="28"/>
          <w:szCs w:val="28"/>
          <w:highlight w:val="none"/>
          <w:lang w:val="en-US" w:eastAsia="zh-CN"/>
        </w:rPr>
        <w:t>4</w:t>
      </w:r>
      <w:r>
        <w:rPr>
          <w:rFonts w:hint="eastAsia" w:ascii="仿宋_GB2312" w:hAnsi="仿宋" w:eastAsia="仿宋_GB2312" w:cs="宋体"/>
          <w:snapToGrid/>
          <w:color w:val="auto"/>
          <w:spacing w:val="4"/>
          <w:sz w:val="28"/>
          <w:szCs w:val="28"/>
          <w:highlight w:val="none"/>
        </w:rPr>
        <w:t>其他要求</w:t>
      </w:r>
      <w:r>
        <w:rPr>
          <w:rFonts w:hint="eastAsia" w:ascii="仿宋_GB2312" w:hAnsi="仿宋" w:eastAsia="仿宋_GB2312" w:cs="宋体"/>
          <w:snapToGrid/>
          <w:color w:val="auto"/>
          <w:spacing w:val="4"/>
          <w:sz w:val="28"/>
          <w:szCs w:val="28"/>
          <w:highlight w:val="none"/>
          <w:lang w:eastAsia="zh-CN"/>
        </w:rPr>
        <w:t>：</w:t>
      </w:r>
      <w:r>
        <w:rPr>
          <w:rFonts w:hint="eastAsia" w:ascii="仿宋_GB2312" w:hAnsi="仿宋" w:eastAsia="仿宋_GB2312" w:cs="宋体"/>
          <w:snapToGrid/>
          <w:color w:val="auto"/>
          <w:spacing w:val="4"/>
          <w:sz w:val="28"/>
          <w:szCs w:val="28"/>
          <w:highlight w:val="none"/>
        </w:rPr>
        <w:t>单位负责人为同一人或者存在控股、管理关系的不同单位，不得参加</w:t>
      </w:r>
      <w:r>
        <w:rPr>
          <w:rFonts w:hint="eastAsia" w:ascii="仿宋_GB2312" w:hAnsi="仿宋" w:eastAsia="仿宋_GB2312" w:cs="宋体"/>
          <w:snapToGrid/>
          <w:color w:val="auto"/>
          <w:spacing w:val="4"/>
          <w:sz w:val="28"/>
          <w:szCs w:val="28"/>
          <w:highlight w:val="none"/>
          <w:lang w:eastAsia="zh-CN"/>
        </w:rPr>
        <w:t>比选</w:t>
      </w:r>
      <w:r>
        <w:rPr>
          <w:rFonts w:hint="eastAsia" w:ascii="仿宋_GB2312" w:hAnsi="仿宋" w:eastAsia="仿宋_GB2312" w:cs="宋体"/>
          <w:snapToGrid/>
          <w:color w:val="auto"/>
          <w:spacing w:val="4"/>
          <w:sz w:val="28"/>
          <w:szCs w:val="28"/>
          <w:highlight w:val="none"/>
        </w:rPr>
        <w:t>。</w:t>
      </w:r>
    </w:p>
    <w:p>
      <w:pPr>
        <w:pStyle w:val="16"/>
        <w:rPr>
          <w:rFonts w:hint="default" w:eastAsia="仿宋_GB2312"/>
          <w:lang w:val="en-US" w:eastAsia="zh-CN"/>
        </w:rPr>
      </w:pPr>
    </w:p>
    <w:p>
      <w:pPr>
        <w:widowControl/>
        <w:spacing w:line="360" w:lineRule="auto"/>
        <w:ind w:firstLine="578" w:firstLineChars="200"/>
        <w:jc w:val="left"/>
        <w:rPr>
          <w:rFonts w:hint="eastAsia" w:ascii="仿宋_GB2312" w:hAnsi="仿宋" w:eastAsia="仿宋_GB2312" w:cs="宋体"/>
          <w:b/>
          <w:snapToGrid/>
          <w:color w:val="auto"/>
          <w:sz w:val="28"/>
          <w:szCs w:val="28"/>
          <w:highlight w:val="none"/>
        </w:rPr>
      </w:pPr>
      <w:r>
        <w:rPr>
          <w:rFonts w:hint="eastAsia" w:ascii="仿宋_GB2312" w:hAnsi="仿宋" w:eastAsia="仿宋_GB2312" w:cs="宋体"/>
          <w:b/>
          <w:snapToGrid/>
          <w:color w:val="auto"/>
          <w:spacing w:val="4"/>
          <w:sz w:val="28"/>
          <w:szCs w:val="28"/>
          <w:highlight w:val="none"/>
        </w:rPr>
        <w:t>1.5比选文件的获取</w:t>
      </w:r>
    </w:p>
    <w:p>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1比选文件发布时间202</w:t>
      </w:r>
      <w:r>
        <w:rPr>
          <w:rFonts w:hint="eastAsia" w:ascii="仿宋_GB2312" w:hAnsi="仿宋" w:eastAsia="仿宋_GB2312" w:cs="宋体"/>
          <w:color w:val="auto"/>
          <w:spacing w:val="4"/>
          <w:sz w:val="28"/>
          <w:szCs w:val="28"/>
          <w:highlight w:val="none"/>
          <w:lang w:val="en-US" w:eastAsia="zh-CN"/>
        </w:rPr>
        <w:t>4</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 xml:space="preserve"> 4 </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color w:val="auto"/>
          <w:spacing w:val="4"/>
          <w:sz w:val="28"/>
          <w:szCs w:val="28"/>
          <w:highlight w:val="none"/>
          <w:u w:val="single"/>
        </w:rPr>
        <w:t xml:space="preserve"> </w:t>
      </w:r>
      <w:r>
        <w:rPr>
          <w:rFonts w:hint="eastAsia" w:ascii="仿宋_GB2312" w:hAnsi="仿宋" w:eastAsia="仿宋_GB2312" w:cs="宋体"/>
          <w:color w:val="auto"/>
          <w:spacing w:val="4"/>
          <w:sz w:val="28"/>
          <w:szCs w:val="28"/>
          <w:highlight w:val="none"/>
          <w:u w:val="single"/>
          <w:lang w:val="en-US" w:eastAsia="zh-CN"/>
        </w:rPr>
        <w:t xml:space="preserve">30 </w:t>
      </w:r>
      <w:r>
        <w:rPr>
          <w:rFonts w:hint="eastAsia" w:ascii="仿宋_GB2312" w:hAnsi="仿宋" w:eastAsia="仿宋_GB2312" w:cs="宋体"/>
          <w:color w:val="auto"/>
          <w:spacing w:val="4"/>
          <w:sz w:val="28"/>
          <w:szCs w:val="28"/>
          <w:highlight w:val="none"/>
        </w:rPr>
        <w:t>日。</w:t>
      </w:r>
    </w:p>
    <w:p>
      <w:pPr>
        <w:widowControl/>
        <w:spacing w:line="360" w:lineRule="auto"/>
        <w:ind w:firstLine="578"/>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1.6比选文件的递交</w:t>
      </w:r>
    </w:p>
    <w:p>
      <w:pPr>
        <w:widowControl/>
        <w:ind w:firstLine="576" w:firstLineChars="200"/>
        <w:jc w:val="left"/>
        <w:rPr>
          <w:rFonts w:hint="eastAsia" w:ascii="仿宋_GB2312" w:hAnsi="仿宋" w:eastAsia="仿宋_GB2312" w:cs="宋体"/>
          <w:color w:val="auto"/>
          <w:spacing w:val="4"/>
          <w:sz w:val="28"/>
          <w:szCs w:val="28"/>
          <w:highlight w:val="none"/>
          <w:lang w:val="en-US" w:eastAsia="zh-CN"/>
        </w:rPr>
      </w:pPr>
      <w:r>
        <w:rPr>
          <w:rFonts w:hint="eastAsia" w:ascii="仿宋_GB2312" w:hAnsi="仿宋" w:eastAsia="仿宋_GB2312" w:cs="宋体"/>
          <w:color w:val="auto"/>
          <w:spacing w:val="4"/>
          <w:sz w:val="28"/>
          <w:szCs w:val="28"/>
          <w:highlight w:val="none"/>
          <w:lang w:val="en-US" w:eastAsia="zh-CN"/>
        </w:rPr>
        <w:t>1.6.</w:t>
      </w:r>
      <w:r>
        <w:rPr>
          <w:rFonts w:hint="eastAsia" w:ascii="仿宋_GB2312" w:hAnsi="仿宋" w:eastAsia="仿宋_GB2312" w:cs="宋体"/>
          <w:color w:val="auto"/>
          <w:spacing w:val="4"/>
          <w:sz w:val="28"/>
          <w:szCs w:val="28"/>
          <w:highlight w:val="none"/>
        </w:rPr>
        <w:t>1所有参与比选的申请人应根据比选文件的要求编制比选申请文件并提交给比选人，提交比选申请文件的截止时间为：202</w:t>
      </w:r>
      <w:r>
        <w:rPr>
          <w:rFonts w:hint="eastAsia" w:ascii="仿宋_GB2312" w:hAnsi="仿宋" w:eastAsia="仿宋_GB2312" w:cs="宋体"/>
          <w:color w:val="auto"/>
          <w:spacing w:val="4"/>
          <w:sz w:val="28"/>
          <w:szCs w:val="28"/>
          <w:highlight w:val="none"/>
          <w:lang w:val="en-US" w:eastAsia="zh-CN"/>
        </w:rPr>
        <w:t>4</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 xml:space="preserve"> 5 </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color w:val="auto"/>
          <w:spacing w:val="4"/>
          <w:sz w:val="28"/>
          <w:szCs w:val="28"/>
          <w:highlight w:val="none"/>
          <w:u w:val="single"/>
          <w:lang w:val="en-US" w:eastAsia="zh-CN"/>
        </w:rPr>
        <w:t xml:space="preserve"> 7 </w:t>
      </w:r>
      <w:r>
        <w:rPr>
          <w:rFonts w:hint="eastAsia" w:ascii="仿宋_GB2312" w:hAnsi="仿宋" w:eastAsia="仿宋_GB2312" w:cs="宋体"/>
          <w:color w:val="auto"/>
          <w:spacing w:val="4"/>
          <w:sz w:val="28"/>
          <w:szCs w:val="28"/>
          <w:highlight w:val="none"/>
        </w:rPr>
        <w:t>日上午09：00。提供电子版文件，比选申请人在截止日期前把电子版文件发送到：</w:t>
      </w:r>
      <w:r>
        <w:rPr>
          <w:rFonts w:hint="eastAsia" w:ascii="仿宋_GB2312" w:hAnsi="仿宋" w:eastAsia="仿宋_GB2312" w:cs="宋体"/>
          <w:b/>
          <w:bCs/>
          <w:color w:val="auto"/>
          <w:spacing w:val="4"/>
          <w:sz w:val="28"/>
          <w:szCs w:val="28"/>
          <w:highlight w:val="none"/>
        </w:rPr>
        <w:t xml:space="preserve">czgwjtjcs@163.com </w:t>
      </w:r>
      <w:r>
        <w:rPr>
          <w:rFonts w:hint="eastAsia" w:ascii="仿宋_GB2312" w:hAnsi="仿宋" w:eastAsia="仿宋_GB2312" w:cs="宋体"/>
          <w:color w:val="auto"/>
          <w:spacing w:val="4"/>
          <w:sz w:val="28"/>
          <w:szCs w:val="28"/>
          <w:highlight w:val="none"/>
        </w:rPr>
        <w:t>邮箱，递交时间即为邮箱中显示收到的时间，因比选申请人原因导致未能发送成功的，后果自负。</w:t>
      </w:r>
      <w:r>
        <w:rPr>
          <w:rFonts w:hint="eastAsia" w:ascii="仿宋_GB2312" w:hAnsi="仿宋" w:eastAsia="仿宋_GB2312" w:cs="宋体"/>
          <w:b/>
          <w:color w:val="auto"/>
          <w:spacing w:val="4"/>
          <w:sz w:val="28"/>
          <w:szCs w:val="28"/>
          <w:highlight w:val="none"/>
        </w:rPr>
        <w:t>评审时，按电子版文件评审，纸质版文件只作为存档资料。</w:t>
      </w:r>
      <w:r>
        <w:rPr>
          <w:rFonts w:hint="eastAsia" w:ascii="仿宋_GB2312" w:hAnsi="仿宋" w:eastAsia="仿宋_GB2312" w:cs="宋体"/>
          <w:color w:val="auto"/>
          <w:spacing w:val="4"/>
          <w:sz w:val="28"/>
          <w:szCs w:val="28"/>
          <w:highlight w:val="none"/>
        </w:rPr>
        <w:t xml:space="preserve">比选申请人需将纸质版文件提供给比选人，可选择邮寄。地址：河北省沧州市渤海新区港务大厦  </w:t>
      </w:r>
      <w:r>
        <w:rPr>
          <w:rFonts w:hint="eastAsia" w:ascii="仿宋_GB2312" w:hAnsi="仿宋" w:eastAsia="仿宋_GB2312" w:cs="宋体"/>
          <w:color w:val="auto"/>
          <w:spacing w:val="4"/>
          <w:sz w:val="28"/>
          <w:szCs w:val="28"/>
          <w:highlight w:val="none"/>
          <w:u w:val="single"/>
          <w:lang w:val="en-US" w:eastAsia="zh-CN"/>
        </w:rPr>
        <w:t>姬  宇</w:t>
      </w:r>
      <w:r>
        <w:rPr>
          <w:rFonts w:hint="eastAsia" w:ascii="仿宋_GB2312" w:hAnsi="仿宋" w:eastAsia="仿宋_GB2312" w:cs="宋体"/>
          <w:color w:val="auto"/>
          <w:spacing w:val="4"/>
          <w:sz w:val="28"/>
          <w:szCs w:val="28"/>
          <w:highlight w:val="none"/>
        </w:rPr>
        <w:t xml:space="preserve">  0317-755803</w:t>
      </w:r>
      <w:r>
        <w:rPr>
          <w:rFonts w:hint="eastAsia" w:ascii="仿宋_GB2312" w:hAnsi="仿宋" w:eastAsia="仿宋_GB2312" w:cs="宋体"/>
          <w:color w:val="auto"/>
          <w:spacing w:val="4"/>
          <w:sz w:val="28"/>
          <w:szCs w:val="28"/>
          <w:highlight w:val="none"/>
          <w:lang w:val="en-US" w:eastAsia="zh-CN"/>
        </w:rPr>
        <w:t>6</w:t>
      </w:r>
    </w:p>
    <w:p>
      <w:pPr>
        <w:widowControl/>
        <w:spacing w:line="360" w:lineRule="auto"/>
        <w:ind w:firstLine="578" w:firstLineChars="200"/>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1.7比选公告发布</w:t>
      </w:r>
    </w:p>
    <w:p>
      <w:pPr>
        <w:widowControl/>
        <w:tabs>
          <w:tab w:val="left" w:pos="2445"/>
        </w:tabs>
        <w:adjustRightInd w:val="0"/>
        <w:ind w:firstLine="576" w:firstLineChars="200"/>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.1本次比选公告仅在</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网站（网址：http://www.czgwjt.com/）发布。本项目一律通过</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在网上发布澄清、补疑、答疑等文件，比选申请人要随时进行查看。未能及时关注造成的一切后果由比选申请人自行承担。</w:t>
      </w:r>
    </w:p>
    <w:p>
      <w:pPr>
        <w:widowControl/>
        <w:tabs>
          <w:tab w:val="left" w:pos="2445"/>
        </w:tabs>
        <w:adjustRightInd w:val="0"/>
        <w:ind w:firstLine="576" w:firstLineChars="200"/>
        <w:rPr>
          <w:rFonts w:hint="eastAsia" w:ascii="仿宋_GB2312" w:hAnsi="仿宋" w:eastAsia="仿宋_GB2312" w:cs="宋体"/>
          <w:color w:val="auto"/>
          <w:spacing w:val="4"/>
          <w:sz w:val="28"/>
          <w:szCs w:val="28"/>
          <w:highlight w:val="none"/>
          <w:u w:val="singl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.2比选人：</w:t>
      </w: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eastAsia="zh-CN"/>
        </w:rPr>
        <w:t>集团</w:t>
      </w:r>
      <w:r>
        <w:rPr>
          <w:rFonts w:hint="eastAsia" w:ascii="仿宋_GB2312" w:hAnsi="仿宋" w:eastAsia="仿宋_GB2312" w:cs="宋体"/>
          <w:color w:val="auto"/>
          <w:spacing w:val="4"/>
          <w:sz w:val="28"/>
          <w:szCs w:val="28"/>
          <w:highlight w:val="none"/>
          <w:u w:val="single"/>
        </w:rPr>
        <w:t>有限公司</w:t>
      </w:r>
    </w:p>
    <w:p>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.3地址：</w:t>
      </w:r>
      <w:r>
        <w:rPr>
          <w:rFonts w:hint="eastAsia" w:ascii="仿宋_GB2312" w:hAnsi="仿宋" w:eastAsia="仿宋_GB2312" w:cs="宋体"/>
          <w:color w:val="auto"/>
          <w:spacing w:val="4"/>
          <w:sz w:val="28"/>
          <w:szCs w:val="28"/>
          <w:highlight w:val="none"/>
          <w:u w:val="single"/>
        </w:rPr>
        <w:t>沧州渤海新区港务大厦</w:t>
      </w:r>
    </w:p>
    <w:p>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.4邮编：061113</w:t>
      </w:r>
    </w:p>
    <w:p>
      <w:pPr>
        <w:widowControl/>
        <w:ind w:firstLine="576" w:firstLineChars="200"/>
        <w:jc w:val="left"/>
        <w:rPr>
          <w:rFonts w:hint="eastAsia" w:ascii="仿宋_GB2312" w:hAnsi="仿宋" w:eastAsia="仿宋_GB2312" w:cs="宋体"/>
          <w:color w:val="auto"/>
          <w:spacing w:val="4"/>
          <w:sz w:val="28"/>
          <w:szCs w:val="28"/>
          <w:highlight w:val="none"/>
          <w:lang w:eastAsia="zh-CN"/>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.5联系人：</w:t>
      </w:r>
      <w:r>
        <w:rPr>
          <w:rFonts w:hint="eastAsia" w:ascii="仿宋_GB2312" w:hAnsi="仿宋" w:eastAsia="仿宋_GB2312" w:cs="宋体"/>
          <w:color w:val="auto"/>
          <w:spacing w:val="4"/>
          <w:sz w:val="28"/>
          <w:szCs w:val="28"/>
          <w:highlight w:val="none"/>
          <w:u w:val="single"/>
          <w:lang w:eastAsia="zh-CN"/>
        </w:rPr>
        <w:t>刘</w:t>
      </w:r>
      <w:r>
        <w:rPr>
          <w:rFonts w:hint="eastAsia" w:ascii="仿宋_GB2312" w:hAnsi="仿宋" w:eastAsia="仿宋_GB2312" w:cs="宋体"/>
          <w:color w:val="auto"/>
          <w:spacing w:val="4"/>
          <w:sz w:val="28"/>
          <w:szCs w:val="28"/>
          <w:highlight w:val="none"/>
          <w:u w:val="single"/>
          <w:lang w:val="en-US" w:eastAsia="zh-CN"/>
        </w:rPr>
        <w:t xml:space="preserve">  </w:t>
      </w:r>
      <w:r>
        <w:rPr>
          <w:rFonts w:hint="eastAsia" w:ascii="仿宋_GB2312" w:hAnsi="仿宋" w:eastAsia="仿宋_GB2312" w:cs="宋体"/>
          <w:color w:val="auto"/>
          <w:spacing w:val="4"/>
          <w:sz w:val="28"/>
          <w:szCs w:val="28"/>
          <w:highlight w:val="none"/>
          <w:u w:val="single"/>
          <w:lang w:eastAsia="zh-CN"/>
        </w:rPr>
        <w:t>斌</w:t>
      </w:r>
    </w:p>
    <w:p>
      <w:pPr>
        <w:widowControl/>
        <w:spacing w:line="360" w:lineRule="auto"/>
        <w:ind w:firstLine="578"/>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.6联系方式：0317-755803</w:t>
      </w:r>
      <w:r>
        <w:rPr>
          <w:rFonts w:hint="eastAsia" w:ascii="仿宋_GB2312" w:hAnsi="仿宋" w:eastAsia="仿宋_GB2312" w:cs="宋体"/>
          <w:color w:val="auto"/>
          <w:spacing w:val="4"/>
          <w:sz w:val="28"/>
          <w:szCs w:val="28"/>
          <w:highlight w:val="none"/>
          <w:lang w:val="en-US" w:eastAsia="zh-CN"/>
        </w:rPr>
        <w:t>6</w:t>
      </w:r>
      <w:r>
        <w:rPr>
          <w:rFonts w:hint="eastAsia" w:ascii="仿宋_GB2312" w:hAnsi="仿宋" w:eastAsia="仿宋_GB2312" w:cs="宋体"/>
          <w:color w:val="auto"/>
          <w:spacing w:val="4"/>
          <w:sz w:val="28"/>
          <w:szCs w:val="28"/>
          <w:highlight w:val="none"/>
        </w:rPr>
        <w:t>；</w:t>
      </w:r>
    </w:p>
    <w:p>
      <w:pPr>
        <w:pStyle w:val="7"/>
        <w:rPr>
          <w:rFonts w:hint="eastAsia"/>
        </w:rPr>
      </w:pPr>
    </w:p>
    <w:p>
      <w:pPr>
        <w:pStyle w:val="2"/>
        <w:rPr>
          <w:rFonts w:ascii="仿宋_GB2312" w:hAnsi="宋体" w:eastAsia="仿宋_GB2312" w:cs="宋体"/>
          <w:snapToGrid/>
          <w:color w:val="auto"/>
          <w:spacing w:val="4"/>
          <w:szCs w:val="32"/>
          <w:highlight w:val="none"/>
        </w:rPr>
      </w:pPr>
      <w:bookmarkStart w:id="2" w:name="_Toc30511"/>
      <w:r>
        <w:rPr>
          <w:rFonts w:hint="eastAsia"/>
          <w:color w:val="auto"/>
          <w:highlight w:val="none"/>
        </w:rPr>
        <w:t xml:space="preserve">第二章  </w:t>
      </w:r>
      <w:r>
        <w:rPr>
          <w:rFonts w:hint="eastAsia"/>
          <w:color w:val="auto"/>
          <w:highlight w:val="none"/>
          <w:lang w:eastAsia="zh-CN"/>
        </w:rPr>
        <w:t>交通信号灯安装</w:t>
      </w:r>
      <w:r>
        <w:rPr>
          <w:rFonts w:hint="eastAsia"/>
          <w:color w:val="auto"/>
          <w:highlight w:val="none"/>
        </w:rPr>
        <w:t>项目说明</w:t>
      </w:r>
      <w:bookmarkEnd w:id="2"/>
    </w:p>
    <w:p>
      <w:pPr>
        <w:spacing w:before="156" w:beforeLines="50" w:after="156" w:afterLines="50" w:line="360" w:lineRule="auto"/>
        <w:ind w:firstLine="578" w:firstLineChars="200"/>
        <w:rPr>
          <w:rFonts w:hint="eastAsia" w:ascii="仿宋_GB2312" w:hAnsi="仿宋" w:eastAsia="仿宋_GB2312" w:cs="宋体"/>
          <w:b/>
          <w:snapToGrid/>
          <w:color w:val="auto"/>
          <w:spacing w:val="4"/>
          <w:sz w:val="28"/>
          <w:szCs w:val="28"/>
          <w:highlight w:val="none"/>
        </w:rPr>
      </w:pPr>
      <w:r>
        <w:rPr>
          <w:rFonts w:hint="eastAsia" w:ascii="仿宋_GB2312" w:hAnsi="仿宋" w:eastAsia="仿宋_GB2312" w:cs="宋体"/>
          <w:b/>
          <w:snapToGrid/>
          <w:color w:val="auto"/>
          <w:spacing w:val="4"/>
          <w:sz w:val="28"/>
          <w:szCs w:val="28"/>
          <w:highlight w:val="none"/>
        </w:rPr>
        <w:t>2.1项目说明</w:t>
      </w:r>
    </w:p>
    <w:p>
      <w:pPr>
        <w:spacing w:before="156" w:beforeLines="50" w:after="156" w:afterLines="50"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2.1.1根据国家及地方</w:t>
      </w:r>
      <w:r>
        <w:rPr>
          <w:rFonts w:hint="eastAsia" w:ascii="仿宋_GB2312" w:hAnsi="仿宋" w:eastAsia="仿宋_GB2312" w:cs="宋体"/>
          <w:snapToGrid/>
          <w:color w:val="auto"/>
          <w:spacing w:val="4"/>
          <w:sz w:val="28"/>
          <w:szCs w:val="28"/>
          <w:highlight w:val="none"/>
          <w:lang w:eastAsia="zh-CN"/>
        </w:rPr>
        <w:t>采购</w:t>
      </w:r>
      <w:r>
        <w:rPr>
          <w:rFonts w:hint="eastAsia" w:ascii="仿宋_GB2312" w:hAnsi="仿宋" w:eastAsia="仿宋_GB2312" w:cs="宋体"/>
          <w:snapToGrid/>
          <w:color w:val="auto"/>
          <w:spacing w:val="4"/>
          <w:sz w:val="28"/>
          <w:szCs w:val="28"/>
          <w:highlight w:val="none"/>
        </w:rPr>
        <w:t>业务相关规定，结合沧州渤海新区</w:t>
      </w:r>
      <w:r>
        <w:rPr>
          <w:rFonts w:hint="eastAsia" w:ascii="仿宋_GB2312" w:hAnsi="仿宋" w:eastAsia="仿宋_GB2312" w:cs="宋体"/>
          <w:snapToGrid/>
          <w:color w:val="auto"/>
          <w:spacing w:val="4"/>
          <w:sz w:val="28"/>
          <w:szCs w:val="28"/>
          <w:highlight w:val="none"/>
          <w:lang w:val="en-US" w:eastAsia="zh-CN"/>
        </w:rPr>
        <w:t>黄骅市</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eastAsia="zh-CN"/>
        </w:rPr>
        <w:t>集团</w:t>
      </w:r>
      <w:r>
        <w:rPr>
          <w:rFonts w:hint="eastAsia" w:ascii="仿宋_GB2312" w:hAnsi="仿宋" w:eastAsia="仿宋_GB2312" w:cs="宋体"/>
          <w:color w:val="auto"/>
          <w:spacing w:val="4"/>
          <w:sz w:val="28"/>
          <w:szCs w:val="28"/>
          <w:highlight w:val="none"/>
          <w:u w:val="single"/>
        </w:rPr>
        <w:t>有限公司</w:t>
      </w:r>
      <w:r>
        <w:rPr>
          <w:rFonts w:hint="eastAsia" w:ascii="仿宋_GB2312" w:hAnsi="仿宋" w:eastAsia="仿宋_GB2312" w:cs="宋体"/>
          <w:snapToGrid/>
          <w:color w:val="auto"/>
          <w:spacing w:val="4"/>
          <w:sz w:val="28"/>
          <w:szCs w:val="28"/>
          <w:highlight w:val="none"/>
        </w:rPr>
        <w:t>实际，通过本次比选确定</w:t>
      </w:r>
      <w:r>
        <w:rPr>
          <w:rFonts w:hint="eastAsia" w:ascii="仿宋_GB2312" w:hAnsi="仿宋" w:eastAsia="仿宋_GB2312" w:cs="宋体"/>
          <w:snapToGrid/>
          <w:color w:val="auto"/>
          <w:spacing w:val="4"/>
          <w:sz w:val="28"/>
          <w:szCs w:val="28"/>
          <w:highlight w:val="none"/>
          <w:lang w:val="en-US" w:eastAsia="zh-CN"/>
        </w:rPr>
        <w:t>“平安黄骅港”建设交通信号灯安装单位</w:t>
      </w:r>
      <w:r>
        <w:rPr>
          <w:rFonts w:hint="eastAsia" w:ascii="仿宋_GB2312" w:hAnsi="仿宋" w:eastAsia="仿宋_GB2312" w:cs="宋体"/>
          <w:snapToGrid/>
          <w:color w:val="auto"/>
          <w:spacing w:val="4"/>
          <w:sz w:val="28"/>
          <w:szCs w:val="28"/>
          <w:highlight w:val="none"/>
        </w:rPr>
        <w:t>，并接受</w:t>
      </w:r>
      <w:r>
        <w:rPr>
          <w:rFonts w:hint="eastAsia" w:ascii="仿宋_GB2312" w:hAnsi="仿宋" w:eastAsia="仿宋_GB2312" w:cs="宋体"/>
          <w:snapToGrid/>
          <w:color w:val="auto"/>
          <w:spacing w:val="4"/>
          <w:sz w:val="28"/>
          <w:szCs w:val="28"/>
          <w:highlight w:val="none"/>
          <w:lang w:val="en-US" w:eastAsia="zh-CN"/>
        </w:rPr>
        <w:t>纪检监察部</w:t>
      </w:r>
      <w:r>
        <w:rPr>
          <w:rFonts w:hint="eastAsia" w:ascii="仿宋_GB2312" w:hAnsi="仿宋" w:eastAsia="仿宋_GB2312" w:cs="宋体"/>
          <w:snapToGrid/>
          <w:color w:val="auto"/>
          <w:spacing w:val="4"/>
          <w:sz w:val="28"/>
          <w:szCs w:val="28"/>
          <w:highlight w:val="none"/>
        </w:rPr>
        <w:t>的监督管理。</w:t>
      </w:r>
    </w:p>
    <w:p>
      <w:pPr>
        <w:pStyle w:val="11"/>
        <w:spacing w:before="0" w:beforeAutospacing="0" w:after="0" w:afterAutospacing="0" w:line="360" w:lineRule="auto"/>
        <w:ind w:firstLine="576" w:firstLineChars="200"/>
        <w:jc w:val="both"/>
        <w:rPr>
          <w:rFonts w:hint="eastAsia" w:ascii="仿宋_GB2312" w:hAnsi="仿宋" w:eastAsia="仿宋_GB2312"/>
          <w:color w:val="auto"/>
          <w:spacing w:val="4"/>
          <w:sz w:val="28"/>
          <w:szCs w:val="28"/>
          <w:highlight w:val="none"/>
        </w:rPr>
      </w:pPr>
      <w:r>
        <w:rPr>
          <w:rFonts w:hint="eastAsia" w:ascii="仿宋_GB2312" w:hAnsi="仿宋" w:eastAsia="仿宋_GB2312"/>
          <w:color w:val="auto"/>
          <w:spacing w:val="4"/>
          <w:sz w:val="28"/>
          <w:szCs w:val="28"/>
          <w:highlight w:val="none"/>
        </w:rPr>
        <w:t>2.1.2本次比选按得分高低排名，比选人应当确定排名第一的中选候选人为中选人，排名第一的中选候选人放弃中选、因不可抗力不能履行合同、不按照比选文件要求提交履约保证金</w:t>
      </w:r>
      <w:r>
        <w:rPr>
          <w:rFonts w:hint="eastAsia" w:ascii="仿宋_GB2312" w:hAnsi="仿宋" w:eastAsia="仿宋_GB2312"/>
          <w:color w:val="auto"/>
          <w:spacing w:val="4"/>
          <w:sz w:val="28"/>
          <w:szCs w:val="28"/>
          <w:highlight w:val="none"/>
          <w:lang w:eastAsia="zh-CN"/>
        </w:rPr>
        <w:t>（如有）</w:t>
      </w:r>
      <w:r>
        <w:rPr>
          <w:rFonts w:hint="eastAsia" w:ascii="仿宋_GB2312" w:hAnsi="仿宋" w:eastAsia="仿宋_GB2312"/>
          <w:color w:val="auto"/>
          <w:spacing w:val="4"/>
          <w:sz w:val="28"/>
          <w:szCs w:val="28"/>
          <w:highlight w:val="none"/>
        </w:rPr>
        <w:t>，或者被查实存在影响中选结果的违法行为等情形，不符合中选条件的，比选人可以按照评标委员会提出的中选候选人名单排序依次确定其他中选候选人为中选人，也可以重新比选。</w:t>
      </w:r>
    </w:p>
    <w:p>
      <w:pPr>
        <w:spacing w:line="360" w:lineRule="auto"/>
        <w:ind w:firstLine="560"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color w:val="auto"/>
          <w:sz w:val="28"/>
          <w:szCs w:val="28"/>
          <w:highlight w:val="none"/>
        </w:rPr>
        <w:t>2.1.3</w:t>
      </w:r>
      <w:r>
        <w:rPr>
          <w:rFonts w:hint="eastAsia" w:ascii="仿宋_GB2312" w:hAnsi="仿宋" w:eastAsia="仿宋_GB2312" w:cs="宋体"/>
          <w:snapToGrid/>
          <w:color w:val="auto"/>
          <w:spacing w:val="4"/>
          <w:sz w:val="28"/>
          <w:szCs w:val="28"/>
          <w:highlight w:val="none"/>
        </w:rPr>
        <w:t>有下列情形者，取消或暂停其服务资格：</w:t>
      </w:r>
    </w:p>
    <w:p>
      <w:pPr>
        <w:spacing w:line="360" w:lineRule="auto"/>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    2.1.3.1不具备相关资质要求，通过虚假手段中选者； </w:t>
      </w:r>
    </w:p>
    <w:p>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2.1.3.2服务质量差，未履行</w:t>
      </w:r>
      <w:r>
        <w:rPr>
          <w:rFonts w:hint="eastAsia" w:ascii="仿宋_GB2312" w:hAnsi="仿宋" w:eastAsia="仿宋_GB2312" w:cs="宋体"/>
          <w:snapToGrid/>
          <w:color w:val="auto"/>
          <w:spacing w:val="4"/>
          <w:sz w:val="28"/>
          <w:szCs w:val="28"/>
          <w:highlight w:val="none"/>
          <w:lang w:eastAsia="zh-CN"/>
        </w:rPr>
        <w:t>供应</w:t>
      </w:r>
      <w:r>
        <w:rPr>
          <w:rFonts w:hint="eastAsia" w:ascii="仿宋_GB2312" w:hAnsi="仿宋" w:eastAsia="仿宋_GB2312" w:cs="宋体"/>
          <w:snapToGrid/>
          <w:color w:val="auto"/>
          <w:spacing w:val="4"/>
          <w:sz w:val="28"/>
          <w:szCs w:val="28"/>
          <w:highlight w:val="none"/>
        </w:rPr>
        <w:t>承诺，受到相关单位投诉属实的；</w:t>
      </w:r>
    </w:p>
    <w:p>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2.1.3.3服务过程中违反职业道德，出现严重失职、营私舞弊、泄露企业商业秘密等情形的；</w:t>
      </w:r>
    </w:p>
    <w:p>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2.1.3.4受到有关行政主管机关、行业组织处分的；</w:t>
      </w:r>
    </w:p>
    <w:p>
      <w:pPr>
        <w:spacing w:line="360" w:lineRule="auto"/>
        <w:ind w:left="576"/>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2.1.3.5未按要求派驻专业人员的；</w:t>
      </w:r>
    </w:p>
    <w:p>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2.1.3.6比选人要求禁止的其他情形。</w:t>
      </w:r>
    </w:p>
    <w:p>
      <w:pPr>
        <w:ind w:firstLine="578" w:firstLineChars="200"/>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2.2服务范围和要求</w:t>
      </w:r>
    </w:p>
    <w:p>
      <w:pPr>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2.2.1负责</w:t>
      </w:r>
      <w:r>
        <w:rPr>
          <w:rFonts w:hint="eastAsia" w:ascii="仿宋_GB2312" w:hAnsi="仿宋" w:eastAsia="仿宋_GB2312" w:cs="宋体"/>
          <w:snapToGrid/>
          <w:color w:val="auto"/>
          <w:spacing w:val="4"/>
          <w:sz w:val="28"/>
          <w:szCs w:val="28"/>
          <w:highlight w:val="none"/>
          <w:lang w:val="en-US" w:eastAsia="zh-CN"/>
        </w:rPr>
        <w:t>“平安黄骅港”建设交通信号灯的安装</w:t>
      </w:r>
      <w:r>
        <w:rPr>
          <w:rFonts w:hint="eastAsia" w:ascii="仿宋_GB2312" w:hAnsi="仿宋" w:eastAsia="仿宋_GB2312" w:cs="宋体"/>
          <w:snapToGrid/>
          <w:color w:val="auto"/>
          <w:spacing w:val="4"/>
          <w:sz w:val="28"/>
          <w:szCs w:val="28"/>
          <w:highlight w:val="none"/>
        </w:rPr>
        <w:t>工作</w:t>
      </w:r>
      <w:r>
        <w:rPr>
          <w:rFonts w:hint="eastAsia" w:ascii="仿宋_GB2312" w:hAnsi="仿宋" w:eastAsia="仿宋_GB2312" w:cs="宋体"/>
          <w:snapToGrid/>
          <w:color w:val="auto"/>
          <w:spacing w:val="4"/>
          <w:sz w:val="28"/>
          <w:szCs w:val="28"/>
          <w:highlight w:val="none"/>
          <w:lang w:val="en-US" w:eastAsia="zh-CN"/>
        </w:rPr>
        <w:t>并提供至少3年的免费售后服务</w:t>
      </w:r>
      <w:r>
        <w:rPr>
          <w:rFonts w:hint="eastAsia" w:ascii="仿宋_GB2312" w:hAnsi="仿宋" w:eastAsia="仿宋_GB2312" w:cs="宋体"/>
          <w:snapToGrid/>
          <w:color w:val="auto"/>
          <w:spacing w:val="4"/>
          <w:sz w:val="28"/>
          <w:szCs w:val="28"/>
          <w:highlight w:val="none"/>
        </w:rPr>
        <w:t>。</w:t>
      </w:r>
    </w:p>
    <w:p>
      <w:pPr>
        <w:ind w:firstLine="576" w:firstLineChars="200"/>
        <w:rPr>
          <w:rFonts w:hint="default"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2.2.2工程量清单,设计图纸等电子文档请登录沧州港务集团官网公告栏自行下载。</w:t>
      </w:r>
    </w:p>
    <w:p>
      <w:pPr>
        <w:pStyle w:val="16"/>
        <w:ind w:firstLine="578" w:firstLineChars="200"/>
        <w:rPr>
          <w:rFonts w:hint="eastAsia" w:ascii="仿宋_GB2312" w:hAnsi="仿宋" w:eastAsia="仿宋_GB2312"/>
          <w:b/>
          <w:bCs/>
          <w:color w:val="auto"/>
          <w:spacing w:val="4"/>
          <w:sz w:val="28"/>
          <w:szCs w:val="28"/>
          <w:highlight w:val="none"/>
        </w:rPr>
      </w:pPr>
      <w:r>
        <w:rPr>
          <w:rFonts w:hint="eastAsia" w:ascii="仿宋_GB2312" w:hAnsi="仿宋" w:eastAsia="仿宋_GB2312"/>
          <w:b/>
          <w:bCs/>
          <w:color w:val="auto"/>
          <w:spacing w:val="4"/>
          <w:sz w:val="28"/>
          <w:szCs w:val="28"/>
          <w:highlight w:val="none"/>
        </w:rPr>
        <w:t>2.2.</w:t>
      </w:r>
      <w:r>
        <w:rPr>
          <w:rFonts w:hint="eastAsia" w:ascii="仿宋_GB2312" w:hAnsi="仿宋" w:eastAsia="仿宋_GB2312"/>
          <w:b/>
          <w:bCs/>
          <w:color w:val="auto"/>
          <w:spacing w:val="4"/>
          <w:sz w:val="28"/>
          <w:szCs w:val="28"/>
          <w:highlight w:val="none"/>
          <w:lang w:val="en-US" w:eastAsia="zh-CN"/>
        </w:rPr>
        <w:t>3</w:t>
      </w:r>
      <w:r>
        <w:rPr>
          <w:rFonts w:hint="eastAsia" w:ascii="仿宋_GB2312" w:hAnsi="仿宋" w:eastAsia="仿宋_GB2312"/>
          <w:b/>
          <w:bCs/>
          <w:color w:val="auto"/>
          <w:spacing w:val="4"/>
          <w:sz w:val="28"/>
          <w:szCs w:val="28"/>
          <w:highlight w:val="none"/>
        </w:rPr>
        <w:t xml:space="preserve"> 本次报价采用固定总价形式，报价中</w:t>
      </w:r>
      <w:r>
        <w:rPr>
          <w:rFonts w:hint="eastAsia" w:ascii="仿宋_GB2312" w:hAnsi="仿宋" w:eastAsia="仿宋_GB2312"/>
          <w:b/>
          <w:bCs/>
          <w:color w:val="auto"/>
          <w:spacing w:val="4"/>
          <w:sz w:val="28"/>
          <w:szCs w:val="28"/>
          <w:highlight w:val="none"/>
          <w:lang w:eastAsia="zh-CN"/>
        </w:rPr>
        <w:t>应包含</w:t>
      </w:r>
      <w:r>
        <w:rPr>
          <w:rFonts w:hint="eastAsia" w:ascii="仿宋_GB2312" w:hAnsi="仿宋" w:eastAsia="仿宋_GB2312"/>
          <w:b/>
          <w:bCs/>
          <w:color w:val="auto"/>
          <w:spacing w:val="4"/>
          <w:sz w:val="28"/>
          <w:szCs w:val="28"/>
          <w:highlight w:val="none"/>
        </w:rPr>
        <w:t>人工费、材料费、机械费、企业管理费、利润、风险费用、措施费、规费、税金、政策性文件规定的所有费用。</w:t>
      </w:r>
    </w:p>
    <w:p>
      <w:pPr>
        <w:pStyle w:val="16"/>
        <w:ind w:firstLine="578" w:firstLineChars="200"/>
        <w:rPr>
          <w:rFonts w:hint="eastAsia" w:ascii="仿宋_GB2312" w:hAnsi="仿宋" w:eastAsia="仿宋_GB2312"/>
          <w:b/>
          <w:bCs/>
          <w:color w:val="auto"/>
          <w:spacing w:val="4"/>
          <w:sz w:val="28"/>
          <w:szCs w:val="28"/>
          <w:highlight w:val="none"/>
        </w:rPr>
      </w:pPr>
    </w:p>
    <w:p>
      <w:pPr>
        <w:pStyle w:val="2"/>
        <w:rPr>
          <w:color w:val="auto"/>
          <w:highlight w:val="none"/>
        </w:rPr>
      </w:pPr>
      <w:bookmarkStart w:id="3" w:name="_Toc9409"/>
      <w:r>
        <w:rPr>
          <w:rFonts w:hint="eastAsia"/>
          <w:color w:val="auto"/>
          <w:highlight w:val="none"/>
        </w:rPr>
        <w:t>第三章  比选申请人须知</w:t>
      </w:r>
      <w:bookmarkEnd w:id="3"/>
    </w:p>
    <w:p>
      <w:pPr>
        <w:widowControl/>
        <w:spacing w:line="360" w:lineRule="auto"/>
        <w:ind w:firstLine="648" w:firstLineChars="225"/>
        <w:jc w:val="left"/>
        <w:rPr>
          <w:rFonts w:ascii="仿宋" w:hAnsi="仿宋" w:eastAsia="仿宋" w:cs="宋体"/>
          <w:snapToGrid/>
          <w:color w:val="auto"/>
          <w:spacing w:val="4"/>
          <w:sz w:val="28"/>
          <w:szCs w:val="28"/>
          <w:highlight w:val="none"/>
        </w:rPr>
      </w:pP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 比选项目概况</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3.1.1 比选人：</w:t>
      </w:r>
      <w:r>
        <w:rPr>
          <w:rFonts w:hint="eastAsia" w:ascii="仿宋_GB2312" w:hAnsi="仿宋" w:eastAsia="仿宋_GB2312" w:cs="宋体"/>
          <w:snapToGrid/>
          <w:color w:val="auto"/>
          <w:spacing w:val="4"/>
          <w:sz w:val="28"/>
          <w:szCs w:val="28"/>
          <w:highlight w:val="none"/>
          <w:u w:val="single"/>
          <w:lang w:val="en-US" w:eastAsia="zh-CN"/>
        </w:rPr>
        <w:t>沧州港务集团有限公司</w:t>
      </w:r>
      <w:r>
        <w:rPr>
          <w:rFonts w:hint="eastAsia" w:ascii="仿宋_GB2312" w:hAnsi="仿宋" w:eastAsia="仿宋_GB2312" w:cs="宋体"/>
          <w:snapToGrid/>
          <w:color w:val="auto"/>
          <w:spacing w:val="4"/>
          <w:sz w:val="28"/>
          <w:szCs w:val="28"/>
          <w:highlight w:val="none"/>
          <w:u w:val="single"/>
        </w:rPr>
        <w:t>。</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3.1.2 本次比选的范围和内容：见《第一章</w:t>
      </w:r>
      <w:r>
        <w:rPr>
          <w:rFonts w:hint="eastAsia" w:ascii="仿宋_GB2312" w:hAnsi="仿宋" w:eastAsia="仿宋_GB2312" w:cs="宋体"/>
          <w:snapToGrid/>
          <w:color w:val="auto"/>
          <w:spacing w:val="4"/>
          <w:sz w:val="28"/>
          <w:szCs w:val="28"/>
          <w:highlight w:val="none"/>
          <w:lang w:val="en-US" w:eastAsia="zh-CN"/>
        </w:rPr>
        <w:t>“平安黄骅港”建设交通信号灯安装单位</w:t>
      </w:r>
      <w:r>
        <w:rPr>
          <w:rFonts w:hint="eastAsia" w:ascii="仿宋_GB2312" w:hAnsi="仿宋" w:eastAsia="仿宋_GB2312" w:cs="宋体"/>
          <w:snapToGrid/>
          <w:color w:val="auto"/>
          <w:spacing w:val="4"/>
          <w:sz w:val="28"/>
          <w:szCs w:val="28"/>
          <w:highlight w:val="none"/>
        </w:rPr>
        <w:t>比选公告》</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3.1.3 本次比选申请人应当具备的资格条件：见《第一章</w:t>
      </w:r>
      <w:r>
        <w:rPr>
          <w:rFonts w:hint="eastAsia" w:ascii="仿宋_GB2312" w:hAnsi="仿宋" w:eastAsia="仿宋_GB2312" w:cs="宋体"/>
          <w:snapToGrid/>
          <w:color w:val="auto"/>
          <w:spacing w:val="4"/>
          <w:sz w:val="28"/>
          <w:szCs w:val="28"/>
          <w:highlight w:val="none"/>
          <w:lang w:val="en-US" w:eastAsia="zh-CN"/>
        </w:rPr>
        <w:t>“平安黄骅港”建设交通信号灯安装单位</w:t>
      </w:r>
      <w:r>
        <w:rPr>
          <w:rFonts w:hint="eastAsia" w:ascii="仿宋_GB2312" w:hAnsi="仿宋" w:eastAsia="仿宋_GB2312" w:cs="宋体"/>
          <w:snapToGrid/>
          <w:color w:val="auto"/>
          <w:spacing w:val="4"/>
          <w:sz w:val="28"/>
          <w:szCs w:val="28"/>
          <w:highlight w:val="none"/>
        </w:rPr>
        <w:t>比选公告》。</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 比选文件</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3.2.1 比选文件的组成</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（一）</w:t>
      </w:r>
      <w:r>
        <w:rPr>
          <w:rFonts w:hint="eastAsia" w:ascii="仿宋_GB2312" w:hAnsi="仿宋" w:eastAsia="仿宋_GB2312" w:cs="宋体"/>
          <w:snapToGrid/>
          <w:color w:val="auto"/>
          <w:spacing w:val="4"/>
          <w:sz w:val="28"/>
          <w:szCs w:val="28"/>
          <w:highlight w:val="none"/>
          <w:lang w:val="en-US" w:eastAsia="zh-CN"/>
        </w:rPr>
        <w:t>“平安黄骅港”建设交通信号灯安装单位</w:t>
      </w:r>
      <w:r>
        <w:rPr>
          <w:rFonts w:hint="eastAsia" w:ascii="仿宋_GB2312" w:hAnsi="仿宋" w:eastAsia="仿宋_GB2312" w:cs="宋体"/>
          <w:snapToGrid/>
          <w:color w:val="auto"/>
          <w:spacing w:val="4"/>
          <w:sz w:val="28"/>
          <w:szCs w:val="28"/>
          <w:highlight w:val="none"/>
        </w:rPr>
        <w:t>比选公告；</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（二）</w:t>
      </w:r>
      <w:r>
        <w:rPr>
          <w:rFonts w:hint="eastAsia" w:ascii="仿宋_GB2312" w:hAnsi="仿宋" w:eastAsia="仿宋_GB2312" w:cs="宋体"/>
          <w:snapToGrid/>
          <w:color w:val="auto"/>
          <w:spacing w:val="4"/>
          <w:sz w:val="28"/>
          <w:szCs w:val="28"/>
          <w:highlight w:val="none"/>
          <w:lang w:eastAsia="zh-CN"/>
        </w:rPr>
        <w:t>交通信号灯安装</w:t>
      </w:r>
      <w:r>
        <w:rPr>
          <w:rFonts w:hint="eastAsia" w:ascii="仿宋_GB2312" w:hAnsi="仿宋" w:eastAsia="仿宋_GB2312" w:cs="宋体"/>
          <w:snapToGrid/>
          <w:color w:val="auto"/>
          <w:spacing w:val="4"/>
          <w:sz w:val="28"/>
          <w:szCs w:val="28"/>
          <w:highlight w:val="none"/>
        </w:rPr>
        <w:t>项目说明；</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（三）比选申请人须知；</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（四）</w:t>
      </w:r>
      <w:r>
        <w:rPr>
          <w:rFonts w:hint="eastAsia" w:ascii="仿宋_GB2312" w:hAnsi="仿宋" w:eastAsia="仿宋_GB2312" w:cs="宋体"/>
          <w:snapToGrid/>
          <w:color w:val="auto"/>
          <w:spacing w:val="4"/>
          <w:sz w:val="28"/>
          <w:szCs w:val="28"/>
          <w:highlight w:val="none"/>
          <w:lang w:eastAsia="zh-CN"/>
        </w:rPr>
        <w:t>评比</w:t>
      </w:r>
      <w:r>
        <w:rPr>
          <w:rFonts w:hint="eastAsia" w:ascii="仿宋_GB2312" w:hAnsi="仿宋" w:eastAsia="仿宋_GB2312" w:cs="宋体"/>
          <w:snapToGrid/>
          <w:color w:val="auto"/>
          <w:spacing w:val="4"/>
          <w:sz w:val="28"/>
          <w:szCs w:val="28"/>
          <w:highlight w:val="none"/>
        </w:rPr>
        <w:t>标准和方法；</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（五）比选申请文件格式；</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比选申请人应认真检查比选文件的内容是否完整，如发现比选文件内容不完整的，应及时向比选人提出，以便补齐。</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3.2.2 比选文件的澄清和修改</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3.2.2.1 比选申请人如对比选文件有疑问，应在提交比选申请文件截止时间前以书面方式提出，比选人将在收到疑问后及时</w:t>
      </w:r>
      <w:r>
        <w:rPr>
          <w:rFonts w:hint="eastAsia" w:ascii="仿宋_GB2312" w:hAnsi="仿宋" w:eastAsia="仿宋_GB2312" w:cs="宋体"/>
          <w:snapToGrid/>
          <w:color w:val="auto"/>
          <w:spacing w:val="4"/>
          <w:sz w:val="28"/>
          <w:szCs w:val="28"/>
          <w:highlight w:val="none"/>
          <w:lang w:eastAsia="zh-CN"/>
        </w:rPr>
        <w:t>回复</w:t>
      </w:r>
      <w:r>
        <w:rPr>
          <w:rFonts w:hint="eastAsia" w:ascii="仿宋_GB2312" w:hAnsi="仿宋" w:eastAsia="仿宋_GB2312" w:cs="宋体"/>
          <w:snapToGrid/>
          <w:color w:val="auto"/>
          <w:spacing w:val="4"/>
          <w:sz w:val="28"/>
          <w:szCs w:val="28"/>
          <w:highlight w:val="none"/>
        </w:rPr>
        <w:t>澄清文件。</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3.2.2.2 </w:t>
      </w:r>
      <w:r>
        <w:rPr>
          <w:rFonts w:hint="eastAsia" w:ascii="仿宋_GB2312" w:hAnsi="宋体" w:eastAsia="仿宋_GB2312" w:cs="宋体"/>
          <w:snapToGrid/>
          <w:color w:val="auto"/>
          <w:spacing w:val="4"/>
          <w:sz w:val="28"/>
          <w:szCs w:val="28"/>
          <w:highlight w:val="none"/>
        </w:rPr>
        <w:t>比选申请人自行下载确认，因未及时下载比选文件的澄清电子版所造成的后果，由比选申请人自行承担。</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 比选申请文件</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 比选申请文件的组成</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3.3.1.1</w:t>
      </w:r>
      <w:r>
        <w:rPr>
          <w:rFonts w:hint="eastAsia" w:ascii="仿宋_GB2312" w:hAnsi="仿宋" w:eastAsia="仿宋_GB2312" w:cs="宋体"/>
          <w:snapToGrid/>
          <w:color w:val="auto"/>
          <w:spacing w:val="4"/>
          <w:sz w:val="28"/>
          <w:szCs w:val="28"/>
          <w:highlight w:val="none"/>
          <w:lang w:eastAsia="zh-CN"/>
        </w:rPr>
        <w:t>符合性审查标准资料</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3.3.1.2</w:t>
      </w:r>
      <w:r>
        <w:rPr>
          <w:rFonts w:hint="eastAsia" w:ascii="仿宋_GB2312" w:hAnsi="仿宋" w:eastAsia="仿宋_GB2312" w:cs="宋体"/>
          <w:snapToGrid/>
          <w:color w:val="auto"/>
          <w:spacing w:val="4"/>
          <w:sz w:val="28"/>
          <w:szCs w:val="28"/>
          <w:highlight w:val="none"/>
        </w:rPr>
        <w:t>比选申请函</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3报价文件</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4类似业绩</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5售后服务承诺</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6质量保证措施</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3.3.1.7关键系统技术解决方案</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3.3.1.8实施方案</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3.3.1.9信号灯产品</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3.3.1.10</w:t>
      </w:r>
      <w:r>
        <w:rPr>
          <w:rFonts w:hint="eastAsia" w:ascii="仿宋_GB2312" w:hAnsi="仿宋" w:eastAsia="仿宋_GB2312" w:cs="宋体"/>
          <w:snapToGrid/>
          <w:color w:val="auto"/>
          <w:spacing w:val="4"/>
          <w:sz w:val="28"/>
          <w:szCs w:val="28"/>
          <w:highlight w:val="none"/>
        </w:rPr>
        <w:t>比选申请人认为需要提交的其他资料</w:t>
      </w:r>
    </w:p>
    <w:p>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    3.3.2 比选申请文件的编制</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3.3.2.1 比选申请文件应当按照本比选文件第五章要求的格式进行编制，并编制</w:t>
      </w:r>
      <w:r>
        <w:rPr>
          <w:rFonts w:hint="eastAsia" w:ascii="仿宋_GB2312" w:hAnsi="仿宋" w:eastAsia="仿宋_GB2312" w:cs="宋体"/>
          <w:b/>
          <w:bCs/>
          <w:snapToGrid/>
          <w:color w:val="auto"/>
          <w:spacing w:val="4"/>
          <w:sz w:val="28"/>
          <w:szCs w:val="28"/>
          <w:highlight w:val="none"/>
        </w:rPr>
        <w:t>比选申请文件目录及目录内容对应的页码</w:t>
      </w:r>
      <w:r>
        <w:rPr>
          <w:rFonts w:hint="eastAsia" w:ascii="仿宋_GB2312" w:hAnsi="仿宋" w:eastAsia="仿宋_GB2312" w:cs="宋体"/>
          <w:snapToGrid/>
          <w:color w:val="auto"/>
          <w:spacing w:val="4"/>
          <w:sz w:val="28"/>
          <w:szCs w:val="28"/>
          <w:highlight w:val="none"/>
        </w:rPr>
        <w:t>。</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3.3.2.2 比选申请文件应当包括本比选文件第五</w:t>
      </w:r>
      <w:r>
        <w:rPr>
          <w:rFonts w:hint="eastAsia" w:ascii="仿宋_GB2312" w:hAnsi="仿宋" w:eastAsia="仿宋_GB2312" w:cs="宋体"/>
          <w:snapToGrid/>
          <w:color w:val="auto"/>
          <w:spacing w:val="4"/>
          <w:sz w:val="28"/>
          <w:szCs w:val="28"/>
          <w:highlight w:val="none"/>
          <w:lang w:eastAsia="zh-CN"/>
        </w:rPr>
        <w:t>章</w:t>
      </w:r>
      <w:r>
        <w:rPr>
          <w:rFonts w:hint="eastAsia" w:ascii="仿宋_GB2312" w:hAnsi="仿宋" w:eastAsia="仿宋_GB2312" w:cs="宋体"/>
          <w:snapToGrid/>
          <w:color w:val="auto"/>
          <w:spacing w:val="4"/>
          <w:sz w:val="28"/>
          <w:szCs w:val="28"/>
          <w:highlight w:val="none"/>
        </w:rPr>
        <w:t>要求的各项内容，并按照比选文件的要求提供相应的证明材料。</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3.3.2.3 比选申请文件（证明材料除外）应全部使用不褪色的材料打印，内容不得有任何涂改，并按先后顺序</w:t>
      </w:r>
      <w:r>
        <w:rPr>
          <w:rFonts w:hint="eastAsia" w:ascii="仿宋_GB2312" w:hAnsi="仿宋" w:eastAsia="仿宋_GB2312" w:cs="宋体"/>
          <w:b/>
          <w:bCs/>
          <w:snapToGrid/>
          <w:color w:val="auto"/>
          <w:spacing w:val="4"/>
          <w:sz w:val="28"/>
          <w:szCs w:val="28"/>
          <w:highlight w:val="none"/>
        </w:rPr>
        <w:t>逐页编码</w:t>
      </w:r>
      <w:r>
        <w:rPr>
          <w:rFonts w:hint="eastAsia" w:ascii="仿宋_GB2312" w:hAnsi="仿宋" w:eastAsia="仿宋_GB2312" w:cs="宋体"/>
          <w:snapToGrid/>
          <w:color w:val="auto"/>
          <w:spacing w:val="4"/>
          <w:sz w:val="28"/>
          <w:szCs w:val="28"/>
          <w:highlight w:val="none"/>
          <w:lang w:eastAsia="zh-CN"/>
        </w:rPr>
        <w:t>。</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3.3.2.4 </w:t>
      </w:r>
      <w:r>
        <w:rPr>
          <w:rFonts w:hint="eastAsia" w:ascii="仿宋_GB2312" w:hAnsi="宋体" w:eastAsia="仿宋_GB2312" w:cs="宋体"/>
          <w:b/>
          <w:bCs/>
          <w:snapToGrid/>
          <w:color w:val="auto"/>
          <w:spacing w:val="4"/>
          <w:sz w:val="28"/>
          <w:szCs w:val="28"/>
          <w:highlight w:val="none"/>
        </w:rPr>
        <w:t>比选申请文件正本1份；电子版一份，发送至指定邮箱</w:t>
      </w:r>
      <w:r>
        <w:rPr>
          <w:rFonts w:ascii="仿宋_GB2312" w:hAnsi="宋体" w:eastAsia="仿宋_GB2312" w:cs="宋体"/>
          <w:b/>
          <w:bCs/>
          <w:snapToGrid/>
          <w:color w:val="auto"/>
          <w:spacing w:val="4"/>
          <w:sz w:val="28"/>
          <w:szCs w:val="28"/>
          <w:highlight w:val="none"/>
        </w:rPr>
        <w:t>。</w:t>
      </w:r>
      <w:r>
        <w:rPr>
          <w:rFonts w:hint="eastAsia" w:ascii="仿宋_GB2312" w:hAnsi="仿宋" w:eastAsia="仿宋_GB2312" w:cs="宋体"/>
          <w:b/>
          <w:snapToGrid/>
          <w:color w:val="auto"/>
          <w:spacing w:val="4"/>
          <w:sz w:val="28"/>
          <w:szCs w:val="28"/>
          <w:highlight w:val="none"/>
        </w:rPr>
        <w:t>电子版文件需含有比选申请人签章。（注：电子版文件格式为.pdf）</w:t>
      </w:r>
    </w:p>
    <w:p>
      <w:pPr>
        <w:widowControl/>
        <w:spacing w:line="360" w:lineRule="auto"/>
        <w:ind w:firstLine="650" w:firstLineChars="226"/>
        <w:jc w:val="left"/>
        <w:rPr>
          <w:rFonts w:ascii="仿宋_GB2312" w:hAnsi="宋体" w:eastAsia="仿宋_GB2312" w:cs="宋体"/>
          <w:snapToGrid/>
          <w:color w:val="auto"/>
          <w:sz w:val="28"/>
          <w:szCs w:val="28"/>
          <w:highlight w:val="none"/>
        </w:rPr>
      </w:pPr>
      <w:bookmarkStart w:id="4" w:name="_Toc6751"/>
      <w:r>
        <w:rPr>
          <w:rFonts w:hint="eastAsia" w:ascii="仿宋_GB2312" w:hAnsi="宋体" w:eastAsia="仿宋_GB2312" w:cs="宋体"/>
          <w:snapToGrid/>
          <w:color w:val="auto"/>
          <w:spacing w:val="4"/>
          <w:sz w:val="28"/>
          <w:szCs w:val="28"/>
          <w:highlight w:val="none"/>
        </w:rPr>
        <w:t>3.3.3 比选申请文件有效期</w:t>
      </w:r>
    </w:p>
    <w:p>
      <w:pPr>
        <w:widowControl/>
        <w:spacing w:line="360" w:lineRule="auto"/>
        <w:ind w:firstLine="650" w:firstLineChars="226"/>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3.3.3.1 比选申请文件有效期为比选文件规定的递交比选申请文件的截止时间之日起</w:t>
      </w:r>
      <w:r>
        <w:rPr>
          <w:rFonts w:hint="eastAsia" w:ascii="仿宋_GB2312" w:hAnsi="宋体" w:eastAsia="仿宋_GB2312" w:cs="宋体"/>
          <w:snapToGrid/>
          <w:color w:val="auto"/>
          <w:spacing w:val="4"/>
          <w:sz w:val="28"/>
          <w:szCs w:val="28"/>
          <w:highlight w:val="none"/>
          <w:u w:val="single"/>
        </w:rPr>
        <w:t>60</w:t>
      </w:r>
      <w:r>
        <w:rPr>
          <w:rFonts w:hint="eastAsia" w:ascii="仿宋_GB2312" w:hAnsi="宋体" w:eastAsia="仿宋_GB2312" w:cs="宋体"/>
          <w:snapToGrid/>
          <w:color w:val="auto"/>
          <w:spacing w:val="4"/>
          <w:sz w:val="28"/>
          <w:szCs w:val="28"/>
          <w:highlight w:val="none"/>
        </w:rPr>
        <w:t>天，在此期限届满之前，比选申请人不得要求撤销或修改其比选申请文件。</w:t>
      </w:r>
    </w:p>
    <w:p>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3.4 比选申请文件的评审</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3.4.1评审工作由比选人组成评比委员会负责。</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3.4.2 评比委员会成员与参加比选的比选申请人之间不得存在利害关系，有利害关系的应当主动提出回避。</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3.4.3 评比活动遵循公平、公正、科学、择优的原则。</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3.4.4 评比委员会成员及所有参与者应对比选申请人提交的比选申请文件内容保密；比选申请人采用不正当手段对评比委员会成员施加影响的，将取消其比选资格。</w:t>
      </w:r>
    </w:p>
    <w:p>
      <w:pPr>
        <w:widowControl/>
        <w:spacing w:line="360" w:lineRule="auto"/>
        <w:ind w:firstLine="576"/>
        <w:jc w:val="left"/>
        <w:rPr>
          <w:rFonts w:hint="eastAsia" w:ascii="仿宋_GB2312" w:hAnsi="宋体" w:eastAsia="仿宋_GB2312" w:cs="宋体"/>
          <w:b/>
          <w:snapToGrid/>
          <w:color w:val="auto"/>
          <w:spacing w:val="4"/>
          <w:sz w:val="28"/>
          <w:szCs w:val="28"/>
          <w:highlight w:val="none"/>
        </w:rPr>
      </w:pPr>
      <w:r>
        <w:rPr>
          <w:rFonts w:hint="eastAsia" w:ascii="仿宋_GB2312" w:hAnsi="宋体" w:eastAsia="仿宋_GB2312" w:cs="宋体"/>
          <w:b/>
          <w:snapToGrid/>
          <w:color w:val="auto"/>
          <w:spacing w:val="4"/>
          <w:sz w:val="28"/>
          <w:szCs w:val="28"/>
          <w:highlight w:val="none"/>
        </w:rPr>
        <w:t>3.5 中选</w:t>
      </w:r>
    </w:p>
    <w:p>
      <w:pPr>
        <w:spacing w:line="360" w:lineRule="auto"/>
        <w:ind w:firstLine="576" w:firstLineChars="200"/>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3.5.1 本项目实行综合评分法，按照得分高低进行排序选取</w:t>
      </w:r>
      <w:r>
        <w:rPr>
          <w:rFonts w:hint="eastAsia" w:ascii="仿宋_GB2312" w:hAnsi="宋体" w:eastAsia="仿宋_GB2312" w:cs="宋体"/>
          <w:snapToGrid/>
          <w:color w:val="auto"/>
          <w:spacing w:val="4"/>
          <w:sz w:val="28"/>
          <w:szCs w:val="28"/>
          <w:highlight w:val="none"/>
          <w:lang w:eastAsia="zh-CN"/>
        </w:rPr>
        <w:t>第</w:t>
      </w:r>
      <w:r>
        <w:rPr>
          <w:rFonts w:hint="eastAsia" w:ascii="仿宋_GB2312" w:hAnsi="宋体" w:eastAsia="仿宋_GB2312" w:cs="宋体"/>
          <w:snapToGrid/>
          <w:color w:val="auto"/>
          <w:spacing w:val="4"/>
          <w:sz w:val="28"/>
          <w:szCs w:val="28"/>
          <w:highlight w:val="none"/>
          <w:u w:val="single"/>
          <w:lang w:val="en-US" w:eastAsia="zh-CN"/>
        </w:rPr>
        <w:t xml:space="preserve"> 1 </w:t>
      </w:r>
      <w:r>
        <w:rPr>
          <w:rFonts w:hint="eastAsia" w:ascii="仿宋_GB2312" w:hAnsi="宋体" w:eastAsia="仿宋_GB2312" w:cs="宋体"/>
          <w:snapToGrid/>
          <w:color w:val="auto"/>
          <w:spacing w:val="4"/>
          <w:sz w:val="28"/>
          <w:szCs w:val="28"/>
          <w:highlight w:val="none"/>
        </w:rPr>
        <w:t>名比选申请人为中选人。出现并列分数，按照申请人</w:t>
      </w:r>
      <w:r>
        <w:rPr>
          <w:rFonts w:hint="eastAsia" w:ascii="仿宋_GB2312" w:hAnsi="宋体" w:eastAsia="仿宋_GB2312" w:cs="宋体"/>
          <w:snapToGrid/>
          <w:color w:val="auto"/>
          <w:spacing w:val="4"/>
          <w:sz w:val="28"/>
          <w:szCs w:val="28"/>
          <w:highlight w:val="none"/>
          <w:lang w:eastAsia="zh-CN"/>
        </w:rPr>
        <w:t>报价</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综合实力</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技术</w:t>
      </w:r>
      <w:r>
        <w:rPr>
          <w:rFonts w:hint="eastAsia" w:ascii="仿宋_GB2312" w:hAnsi="宋体" w:eastAsia="仿宋_GB2312" w:cs="宋体"/>
          <w:snapToGrid/>
          <w:color w:val="auto"/>
          <w:spacing w:val="4"/>
          <w:sz w:val="28"/>
          <w:szCs w:val="28"/>
          <w:highlight w:val="none"/>
        </w:rPr>
        <w:t>方案的先后顺序得分高低确定中选单位。</w:t>
      </w:r>
    </w:p>
    <w:p>
      <w:pPr>
        <w:widowControl/>
        <w:spacing w:line="360" w:lineRule="auto"/>
        <w:ind w:firstLine="576"/>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b/>
          <w:bCs/>
          <w:snapToGrid/>
          <w:color w:val="auto"/>
          <w:spacing w:val="4"/>
          <w:sz w:val="28"/>
          <w:szCs w:val="28"/>
          <w:highlight w:val="none"/>
        </w:rPr>
        <w:t>3.5.2 评比结束后，比选人将评比结果通过沧州港务集团有限公司网站公示，公示期</w:t>
      </w:r>
      <w:r>
        <w:rPr>
          <w:rFonts w:hint="eastAsia" w:ascii="仿宋_GB2312" w:hAnsi="宋体" w:eastAsia="仿宋_GB2312" w:cs="宋体"/>
          <w:b/>
          <w:bCs/>
          <w:snapToGrid/>
          <w:color w:val="auto"/>
          <w:spacing w:val="4"/>
          <w:sz w:val="28"/>
          <w:szCs w:val="28"/>
          <w:highlight w:val="none"/>
          <w:lang w:eastAsia="zh-CN"/>
        </w:rPr>
        <w:t>1</w:t>
      </w:r>
      <w:r>
        <w:rPr>
          <w:rFonts w:hint="eastAsia" w:ascii="仿宋_GB2312" w:hAnsi="宋体" w:eastAsia="仿宋_GB2312" w:cs="宋体"/>
          <w:b/>
          <w:bCs/>
          <w:snapToGrid/>
          <w:color w:val="auto"/>
          <w:spacing w:val="4"/>
          <w:sz w:val="28"/>
          <w:szCs w:val="28"/>
          <w:highlight w:val="none"/>
        </w:rPr>
        <w:t>日。</w:t>
      </w:r>
      <w:r>
        <w:rPr>
          <w:rFonts w:hint="eastAsia" w:ascii="仿宋_GB2312" w:hAnsi="宋体" w:eastAsia="仿宋_GB2312" w:cs="宋体"/>
          <w:snapToGrid/>
          <w:color w:val="auto"/>
          <w:spacing w:val="4"/>
          <w:sz w:val="28"/>
          <w:szCs w:val="28"/>
          <w:highlight w:val="none"/>
        </w:rPr>
        <w:t xml:space="preserve"> </w:t>
      </w:r>
    </w:p>
    <w:p>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3.6 重新比选和不再比选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3.6.1 至递交比选申请文件截止时间止，比选申请人少于3家的，比选人将重新进行比选。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重新比选后，比选申请人达不到3家以上（含3家）的，比选人不再进行比选。</w:t>
      </w:r>
    </w:p>
    <w:p>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3.7 纪律和监督</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 对比选人的纪律要求</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3.7.1.1 比选人对比选申请人资格条件的要求应当合法合理，不得排斥比选申请人之间的竞争。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3.7.1.2 比选人制定的评比标准和方法应当符合实际需要，不得针对某个比选申请人量体裁衣，制定特殊评比标准和方法。</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3.7.1.3 在评比的过程中，比选人代表对所有比选申请人应当一视同仁，不得采用明示或暗示的手段操纵比选活动。</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3.7.1.4 比选人不得泄露比选活动中应当保密的情况和资料，不得与比选申请人串通损害国家利益、社会利益或者其他比选申请人的合法权益。</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 对比选申请人的纪律要求。</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3.7.2.1 比选申请人编制比选申请文件应当实事求是，不得弄虚作假骗取中标，也不得以他人名义参加比选。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3.7.2.2 比选申请人不得相互串通或者与比选人串通参加比选。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3.7.2.3 比选申请人不得采用向比选人或评比委员会成员行贿等手段谋取中标。</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3.7.2.4 比选申请人不得以任何方式干扰和影响</w:t>
      </w:r>
      <w:r>
        <w:rPr>
          <w:rFonts w:hint="eastAsia" w:ascii="仿宋_GB2312" w:hAnsi="宋体" w:eastAsia="仿宋_GB2312" w:cs="宋体"/>
          <w:snapToGrid/>
          <w:color w:val="auto"/>
          <w:spacing w:val="4"/>
          <w:sz w:val="28"/>
          <w:szCs w:val="28"/>
          <w:highlight w:val="none"/>
          <w:lang w:eastAsia="zh-CN"/>
        </w:rPr>
        <w:t>比选</w:t>
      </w:r>
      <w:r>
        <w:rPr>
          <w:rFonts w:hint="eastAsia" w:ascii="仿宋_GB2312" w:hAnsi="宋体" w:eastAsia="仿宋_GB2312" w:cs="宋体"/>
          <w:snapToGrid/>
          <w:color w:val="auto"/>
          <w:spacing w:val="4"/>
          <w:sz w:val="28"/>
          <w:szCs w:val="28"/>
          <w:highlight w:val="none"/>
        </w:rPr>
        <w:t>工作。</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 对评比委员会成员的纪律要求</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3.7.3.1 评比委员会成员独立评审，不受其他任何评比委员会成员的干扰。</w:t>
      </w:r>
      <w:bookmarkStart w:id="10" w:name="_GoBack"/>
      <w:bookmarkEnd w:id="10"/>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3.7.3.2 在评比过程中，评比委员会成员必须按照比选文件第4章规定的评标标准和方法进行评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，比选文件第4章没有规定的评比标准和方法不得使用。</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3.7.3.3 在评比过程中，评比委员会成员不得擅离职守，影响评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工作的正常进行。</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3.7.3.4 评比委员会成员不得收受他人的</w:t>
      </w:r>
      <w:r>
        <w:rPr>
          <w:rFonts w:hint="eastAsia" w:ascii="仿宋_GB2312" w:hAnsi="宋体" w:eastAsia="仿宋_GB2312" w:cs="宋体"/>
          <w:snapToGrid/>
          <w:color w:val="auto"/>
          <w:spacing w:val="4"/>
          <w:sz w:val="28"/>
          <w:szCs w:val="28"/>
          <w:highlight w:val="none"/>
          <w:lang w:eastAsia="zh-CN"/>
        </w:rPr>
        <w:t>财物和其他</w:t>
      </w:r>
      <w:r>
        <w:rPr>
          <w:rFonts w:hint="eastAsia" w:ascii="仿宋_GB2312" w:hAnsi="宋体" w:eastAsia="仿宋_GB2312" w:cs="宋体"/>
          <w:snapToGrid/>
          <w:color w:val="auto"/>
          <w:spacing w:val="4"/>
          <w:sz w:val="28"/>
          <w:szCs w:val="28"/>
          <w:highlight w:val="none"/>
        </w:rPr>
        <w:t>好处，不得影响公正的评审。</w:t>
      </w:r>
    </w:p>
    <w:p>
      <w:pPr>
        <w:widowControl/>
        <w:spacing w:line="360" w:lineRule="auto"/>
        <w:ind w:firstLine="576"/>
        <w:jc w:val="left"/>
        <w:rPr>
          <w:rFonts w:hint="eastAsia"/>
          <w:color w:val="auto"/>
          <w:highlight w:val="none"/>
        </w:rPr>
      </w:pPr>
      <w:r>
        <w:rPr>
          <w:rFonts w:hint="eastAsia" w:ascii="仿宋_GB2312" w:hAnsi="宋体" w:eastAsia="仿宋_GB2312" w:cs="宋体"/>
          <w:snapToGrid/>
          <w:color w:val="auto"/>
          <w:spacing w:val="4"/>
          <w:sz w:val="28"/>
          <w:szCs w:val="28"/>
          <w:highlight w:val="none"/>
        </w:rPr>
        <w:t>3.7.3.5 评比委员会成员不得向他人透露对比选申请文件的评审、比较和中</w:t>
      </w:r>
      <w:r>
        <w:rPr>
          <w:rFonts w:hint="eastAsia" w:ascii="仿宋_GB2312" w:hAnsi="宋体" w:eastAsia="仿宋_GB2312" w:cs="宋体"/>
          <w:snapToGrid/>
          <w:color w:val="auto"/>
          <w:spacing w:val="4"/>
          <w:sz w:val="28"/>
          <w:szCs w:val="28"/>
          <w:highlight w:val="none"/>
          <w:lang w:eastAsia="zh-CN"/>
        </w:rPr>
        <w:t>选</w:t>
      </w:r>
      <w:r>
        <w:rPr>
          <w:rFonts w:hint="eastAsia" w:ascii="仿宋_GB2312" w:hAnsi="宋体" w:eastAsia="仿宋_GB2312" w:cs="宋体"/>
          <w:snapToGrid/>
          <w:color w:val="auto"/>
          <w:spacing w:val="4"/>
          <w:sz w:val="28"/>
          <w:szCs w:val="28"/>
          <w:highlight w:val="none"/>
        </w:rPr>
        <w:t>人的推荐情况以及与评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有关的其他情况。</w:t>
      </w:r>
    </w:p>
    <w:p>
      <w:pPr>
        <w:pStyle w:val="2"/>
        <w:jc w:val="center"/>
        <w:rPr>
          <w:color w:val="auto"/>
          <w:highlight w:val="none"/>
        </w:rPr>
      </w:pPr>
      <w:r>
        <w:rPr>
          <w:rFonts w:hint="eastAsia"/>
          <w:color w:val="auto"/>
          <w:highlight w:val="none"/>
        </w:rPr>
        <w:t>第四章  评比标准和方法</w:t>
      </w:r>
      <w:bookmarkEnd w:id="4"/>
    </w:p>
    <w:p>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ind w:firstLine="567" w:firstLineChars="197"/>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4.1 本项目采用综合评分法，评比委员会首先进行初步评审，对满足比选文件实质性要求的比选申请文件，按照本章规定的评分标准和方法进行打分，并按照得分由高到低进行排序。</w:t>
      </w:r>
    </w:p>
    <w:p>
      <w:pPr>
        <w:widowControl/>
        <w:spacing w:line="360" w:lineRule="auto"/>
        <w:ind w:firstLine="570" w:firstLineChars="197"/>
        <w:jc w:val="left"/>
        <w:rPr>
          <w:rFonts w:hint="eastAsia" w:ascii="仿宋_GB2312" w:hAnsi="仿宋" w:eastAsia="仿宋_GB2312" w:cs="宋体"/>
          <w:b/>
          <w:bCs/>
          <w:snapToGrid/>
          <w:color w:val="auto"/>
          <w:sz w:val="28"/>
          <w:szCs w:val="28"/>
          <w:highlight w:val="none"/>
        </w:rPr>
      </w:pPr>
      <w:r>
        <w:rPr>
          <w:rFonts w:hint="eastAsia" w:ascii="仿宋_GB2312" w:hAnsi="仿宋" w:eastAsia="仿宋_GB2312" w:cs="宋体"/>
          <w:b/>
          <w:bCs/>
          <w:snapToGrid/>
          <w:color w:val="auto"/>
          <w:spacing w:val="4"/>
          <w:sz w:val="28"/>
          <w:szCs w:val="28"/>
          <w:highlight w:val="none"/>
        </w:rPr>
        <w:t>4.2 评标标准</w:t>
      </w:r>
    </w:p>
    <w:p>
      <w:pPr>
        <w:widowControl/>
        <w:spacing w:line="360" w:lineRule="auto"/>
        <w:ind w:firstLine="567" w:firstLineChars="197"/>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4.2.1 初步评审标准（符合性审查标准）</w:t>
      </w:r>
    </w:p>
    <w:tbl>
      <w:tblPr>
        <w:tblStyle w:val="13"/>
        <w:tblW w:w="91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0"/>
        <w:gridCol w:w="2028"/>
        <w:gridCol w:w="4601"/>
        <w:gridCol w:w="17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730"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028"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审查内容</w:t>
            </w:r>
          </w:p>
        </w:tc>
        <w:tc>
          <w:tcPr>
            <w:tcW w:w="4601"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合格标准</w:t>
            </w:r>
          </w:p>
        </w:tc>
        <w:tc>
          <w:tcPr>
            <w:tcW w:w="1749"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730"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028" w:type="dxa"/>
            <w:noWrap w:val="0"/>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资质要求</w:t>
            </w:r>
          </w:p>
        </w:tc>
        <w:tc>
          <w:tcPr>
            <w:tcW w:w="4601" w:type="dxa"/>
            <w:noWrap w:val="0"/>
            <w:vAlign w:val="center"/>
          </w:tcPr>
          <w:p>
            <w:pPr>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具备独立法人资格</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具有有效的营业执照</w:t>
            </w:r>
          </w:p>
        </w:tc>
        <w:tc>
          <w:tcPr>
            <w:tcW w:w="1749" w:type="dxa"/>
            <w:vMerge w:val="restart"/>
            <w:noWrap w:val="0"/>
            <w:vAlign w:val="center"/>
          </w:tcPr>
          <w:p>
            <w:pPr>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正在办理年检的证件需要出示企业所在地相应主管部门的证明文件的原件</w:t>
            </w:r>
            <w:r>
              <w:rPr>
                <w:rFonts w:hint="eastAsia" w:ascii="仿宋_GB2312" w:hAnsi="仿宋_GB2312" w:eastAsia="仿宋_GB2312" w:cs="仿宋_GB2312"/>
                <w:color w:val="auto"/>
                <w:sz w:val="24"/>
                <w:szCs w:val="24"/>
                <w:highlight w:val="none"/>
                <w:lang w:eastAsia="zh-CN"/>
              </w:rPr>
              <w:t>扫描件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78" w:hRule="atLeast"/>
          <w:jc w:val="center"/>
        </w:trPr>
        <w:tc>
          <w:tcPr>
            <w:tcW w:w="730"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028"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单位负责人为同一人或者存在控股、管理关系的审查</w:t>
            </w:r>
          </w:p>
        </w:tc>
        <w:tc>
          <w:tcPr>
            <w:tcW w:w="4601"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比选人</w:t>
            </w:r>
            <w:r>
              <w:rPr>
                <w:rFonts w:hint="eastAsia" w:ascii="仿宋_GB2312" w:hAnsi="仿宋_GB2312" w:eastAsia="仿宋_GB2312" w:cs="仿宋_GB2312"/>
                <w:color w:val="auto"/>
                <w:sz w:val="24"/>
                <w:szCs w:val="24"/>
                <w:highlight w:val="none"/>
              </w:rPr>
              <w:t>现场审核</w:t>
            </w:r>
          </w:p>
        </w:tc>
        <w:tc>
          <w:tcPr>
            <w:tcW w:w="1749" w:type="dxa"/>
            <w:vMerge w:val="continue"/>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6" w:hRule="atLeast"/>
          <w:jc w:val="center"/>
        </w:trPr>
        <w:tc>
          <w:tcPr>
            <w:tcW w:w="730" w:type="dxa"/>
            <w:tcBorders>
              <w:top w:val="single" w:color="auto" w:sz="4" w:space="0"/>
              <w:bottom w:val="single" w:color="auto" w:sz="4" w:space="0"/>
            </w:tcBorders>
            <w:noWrap w:val="0"/>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028"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业绩要求</w:t>
            </w:r>
          </w:p>
        </w:tc>
        <w:tc>
          <w:tcPr>
            <w:tcW w:w="4601"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近五年来（2019年5月至今）独立完成过单项合同工程造价50万或以上（含50万）类似红绿灯交通工程施工业绩不少于1个。</w:t>
            </w:r>
          </w:p>
        </w:tc>
        <w:tc>
          <w:tcPr>
            <w:tcW w:w="1749" w:type="dxa"/>
            <w:noWrap w:val="0"/>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（注：以合同签订日期为准）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6" w:hRule="atLeast"/>
          <w:jc w:val="center"/>
        </w:trPr>
        <w:tc>
          <w:tcPr>
            <w:tcW w:w="730" w:type="dxa"/>
            <w:tcBorders>
              <w:top w:val="single" w:color="auto" w:sz="4" w:space="0"/>
              <w:bottom w:val="single" w:color="auto" w:sz="4" w:space="0"/>
            </w:tcBorders>
            <w:noWrap w:val="0"/>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2028"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信誉要求</w:t>
            </w:r>
          </w:p>
        </w:tc>
        <w:tc>
          <w:tcPr>
            <w:tcW w:w="4601"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在“信用中国”网站（www.creditchina.gov.cn）中未被列入失信被执行人名单、企业经营异常情况名录、重大税收违法案件当事人名单。</w:t>
            </w:r>
          </w:p>
        </w:tc>
        <w:tc>
          <w:tcPr>
            <w:tcW w:w="1749" w:type="dxa"/>
            <w:noWrap w:val="0"/>
            <w:vAlign w:val="center"/>
          </w:tcPr>
          <w:p>
            <w:pPr>
              <w:jc w:val="center"/>
              <w:rPr>
                <w:rFonts w:hint="eastAsia" w:ascii="仿宋_GB2312" w:hAnsi="仿宋_GB2312" w:eastAsia="仿宋_GB2312" w:cs="仿宋_GB2312"/>
                <w:color w:val="auto"/>
                <w:sz w:val="24"/>
                <w:szCs w:val="24"/>
                <w:highlight w:val="none"/>
                <w:lang w:val="en-US" w:eastAsia="zh-CN"/>
              </w:rPr>
            </w:pPr>
          </w:p>
        </w:tc>
      </w:tr>
    </w:tbl>
    <w:p>
      <w:pPr>
        <w:widowControl/>
        <w:spacing w:line="360" w:lineRule="auto"/>
        <w:jc w:val="left"/>
        <w:rPr>
          <w:rFonts w:hint="eastAsia" w:ascii="仿宋_GB2312" w:hAnsi="仿宋" w:eastAsia="仿宋_GB2312" w:cs="宋体"/>
          <w:b/>
          <w:bCs/>
          <w:snapToGrid/>
          <w:color w:val="auto"/>
          <w:spacing w:val="4"/>
          <w:sz w:val="28"/>
          <w:szCs w:val="28"/>
          <w:highlight w:val="none"/>
          <w:lang w:eastAsia="zh-CN"/>
        </w:rPr>
      </w:pPr>
      <w:r>
        <w:rPr>
          <w:rFonts w:hint="eastAsia" w:ascii="仿宋_GB2312" w:hAnsi="仿宋" w:eastAsia="仿宋_GB2312" w:cs="宋体"/>
          <w:b/>
          <w:bCs/>
          <w:snapToGrid/>
          <w:color w:val="auto"/>
          <w:spacing w:val="4"/>
          <w:sz w:val="28"/>
          <w:szCs w:val="28"/>
          <w:highlight w:val="none"/>
          <w:lang w:eastAsia="zh-CN"/>
        </w:rPr>
        <w:t>注：以上资料需提供原件扫描件</w:t>
      </w:r>
    </w:p>
    <w:p>
      <w:pPr>
        <w:widowControl/>
        <w:spacing w:line="360" w:lineRule="auto"/>
        <w:ind w:firstLine="567" w:firstLineChars="197"/>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4.2.2 评分标准</w:t>
      </w:r>
    </w:p>
    <w:p>
      <w:pPr>
        <w:spacing w:line="560" w:lineRule="exact"/>
        <w:ind w:firstLine="560"/>
        <w:rPr>
          <w:rFonts w:hint="eastAsia" w:ascii="仿宋_GB2312" w:eastAsia="仿宋_GB2312"/>
          <w:color w:val="auto"/>
          <w:highlight w:val="none"/>
        </w:rPr>
      </w:pPr>
      <w:r>
        <w:rPr>
          <w:rFonts w:hint="eastAsia" w:ascii="仿宋_GB2312" w:hAnsi="宋体" w:eastAsia="仿宋_GB2312" w:cs="宋体"/>
          <w:bCs/>
          <w:color w:val="auto"/>
          <w:sz w:val="28"/>
          <w:szCs w:val="28"/>
          <w:highlight w:val="none"/>
        </w:rPr>
        <w:t>1、评标办法：综合评分按百分制100分计算，其中</w:t>
      </w:r>
      <w:r>
        <w:rPr>
          <w:rFonts w:hint="eastAsia" w:ascii="仿宋_GB2312" w:hAnsi="宋体" w:eastAsia="仿宋_GB2312" w:cs="宋体"/>
          <w:bCs/>
          <w:color w:val="auto"/>
          <w:sz w:val="28"/>
          <w:szCs w:val="28"/>
          <w:highlight w:val="none"/>
          <w:lang w:eastAsia="zh-CN"/>
        </w:rPr>
        <w:t>比选</w:t>
      </w:r>
      <w:r>
        <w:rPr>
          <w:rFonts w:hint="eastAsia" w:ascii="仿宋_GB2312" w:hAnsi="宋体" w:eastAsia="仿宋_GB2312" w:cs="宋体"/>
          <w:bCs/>
          <w:color w:val="auto"/>
          <w:sz w:val="28"/>
          <w:szCs w:val="28"/>
          <w:highlight w:val="none"/>
        </w:rPr>
        <w:t>报价评审得分为</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w:t>
      </w:r>
      <w:r>
        <w:rPr>
          <w:rFonts w:hint="eastAsia" w:ascii="仿宋_GB2312" w:hAnsi="宋体" w:eastAsia="仿宋_GB2312" w:cs="宋体"/>
          <w:bCs/>
          <w:color w:val="auto"/>
          <w:sz w:val="28"/>
          <w:szCs w:val="28"/>
          <w:highlight w:val="none"/>
          <w:lang w:eastAsia="zh-CN"/>
        </w:rPr>
        <w:t>商务部分</w:t>
      </w:r>
      <w:r>
        <w:rPr>
          <w:rFonts w:hint="eastAsia" w:ascii="仿宋_GB2312" w:hAnsi="宋体" w:eastAsia="仿宋_GB2312" w:cs="宋体"/>
          <w:bCs/>
          <w:color w:val="auto"/>
          <w:sz w:val="28"/>
          <w:szCs w:val="28"/>
          <w:highlight w:val="none"/>
        </w:rPr>
        <w:t>评审得分为</w:t>
      </w:r>
      <w:r>
        <w:rPr>
          <w:rFonts w:hint="eastAsia" w:ascii="仿宋_GB2312" w:hAnsi="宋体" w:eastAsia="仿宋_GB2312" w:cs="宋体"/>
          <w:bCs/>
          <w:color w:val="auto"/>
          <w:sz w:val="28"/>
          <w:szCs w:val="28"/>
          <w:highlight w:val="none"/>
          <w:lang w:val="en-US" w:eastAsia="zh-CN"/>
        </w:rPr>
        <w:t>15</w:t>
      </w:r>
      <w:r>
        <w:rPr>
          <w:rFonts w:hint="eastAsia" w:ascii="仿宋_GB2312" w:hAnsi="宋体" w:eastAsia="仿宋_GB2312" w:cs="宋体"/>
          <w:bCs/>
          <w:color w:val="auto"/>
          <w:sz w:val="28"/>
          <w:szCs w:val="28"/>
          <w:highlight w:val="none"/>
        </w:rPr>
        <w:t>分，</w:t>
      </w:r>
      <w:r>
        <w:rPr>
          <w:rFonts w:hint="eastAsia" w:ascii="仿宋_GB2312" w:hAnsi="宋体" w:eastAsia="仿宋_GB2312" w:cs="宋体"/>
          <w:bCs/>
          <w:color w:val="auto"/>
          <w:sz w:val="28"/>
          <w:szCs w:val="28"/>
          <w:highlight w:val="none"/>
          <w:lang w:eastAsia="zh-CN"/>
        </w:rPr>
        <w:t>技术部分</w:t>
      </w:r>
      <w:r>
        <w:rPr>
          <w:rFonts w:hint="eastAsia" w:ascii="仿宋_GB2312" w:hAnsi="宋体" w:eastAsia="仿宋_GB2312" w:cs="宋体"/>
          <w:bCs/>
          <w:color w:val="auto"/>
          <w:sz w:val="28"/>
          <w:szCs w:val="28"/>
          <w:highlight w:val="none"/>
        </w:rPr>
        <w:t>评审</w:t>
      </w:r>
      <w:r>
        <w:rPr>
          <w:rFonts w:hint="eastAsia" w:ascii="仿宋_GB2312" w:hAnsi="宋体" w:eastAsia="仿宋_GB2312" w:cs="宋体"/>
          <w:bCs/>
          <w:color w:val="auto"/>
          <w:sz w:val="28"/>
          <w:szCs w:val="28"/>
          <w:highlight w:val="none"/>
          <w:lang w:val="en-US" w:eastAsia="zh-CN"/>
        </w:rPr>
        <w:t>35</w:t>
      </w:r>
      <w:r>
        <w:rPr>
          <w:rFonts w:hint="eastAsia" w:ascii="仿宋_GB2312" w:hAnsi="宋体" w:eastAsia="仿宋_GB2312" w:cs="宋体"/>
          <w:bCs/>
          <w:color w:val="auto"/>
          <w:sz w:val="28"/>
          <w:szCs w:val="28"/>
          <w:highlight w:val="none"/>
        </w:rPr>
        <w:t>分</w:t>
      </w:r>
      <w:r>
        <w:rPr>
          <w:rFonts w:hint="eastAsia" w:ascii="仿宋_GB2312" w:hAnsi="宋体" w:eastAsia="仿宋_GB2312" w:cs="宋体"/>
          <w:bCs/>
          <w:color w:val="auto"/>
          <w:sz w:val="28"/>
          <w:szCs w:val="28"/>
          <w:highlight w:val="none"/>
          <w:lang w:eastAsia="zh-CN"/>
        </w:rPr>
        <w:t>，</w:t>
      </w:r>
      <w:r>
        <w:rPr>
          <w:rFonts w:hint="eastAsia" w:ascii="仿宋_GB2312" w:hAnsi="宋体" w:eastAsia="仿宋_GB2312" w:cs="宋体"/>
          <w:bCs/>
          <w:color w:val="auto"/>
          <w:sz w:val="28"/>
          <w:szCs w:val="28"/>
          <w:highlight w:val="none"/>
        </w:rPr>
        <w:t>结果保留两位小数。</w:t>
      </w:r>
    </w:p>
    <w:p>
      <w:pPr>
        <w:pStyle w:val="12"/>
        <w:spacing w:line="560" w:lineRule="exact"/>
        <w:ind w:left="0" w:leftChars="0" w:firstLine="560"/>
        <w:rPr>
          <w:rFonts w:hint="eastAsia" w:ascii="仿宋_GB2312" w:hAnsi="宋体" w:eastAsia="仿宋_GB2312" w:cs="宋体"/>
          <w:bCs/>
          <w:color w:val="auto"/>
          <w:kern w:val="2"/>
          <w:sz w:val="28"/>
          <w:szCs w:val="28"/>
          <w:highlight w:val="none"/>
        </w:rPr>
      </w:pPr>
      <w:r>
        <w:rPr>
          <w:rFonts w:hint="eastAsia" w:ascii="仿宋_GB2312" w:hAnsi="宋体" w:eastAsia="仿宋_GB2312" w:cs="宋体"/>
          <w:bCs/>
          <w:color w:val="auto"/>
          <w:kern w:val="2"/>
          <w:sz w:val="28"/>
          <w:szCs w:val="28"/>
          <w:highlight w:val="none"/>
        </w:rPr>
        <w:t>本项目设定收费最高限价为：</w:t>
      </w:r>
      <w:r>
        <w:rPr>
          <w:rFonts w:hint="eastAsia" w:ascii="仿宋_GB2312" w:hAnsi="宋体" w:eastAsia="仿宋_GB2312" w:cs="宋体"/>
          <w:bCs/>
          <w:color w:val="auto"/>
          <w:kern w:val="2"/>
          <w:sz w:val="28"/>
          <w:szCs w:val="28"/>
          <w:highlight w:val="none"/>
          <w:u w:val="single"/>
        </w:rPr>
        <w:t xml:space="preserve">  </w:t>
      </w:r>
      <w:r>
        <w:rPr>
          <w:rFonts w:hint="eastAsia" w:ascii="仿宋_GB2312" w:hAnsi="宋体" w:eastAsia="仿宋_GB2312" w:cs="宋体"/>
          <w:bCs/>
          <w:color w:val="auto"/>
          <w:kern w:val="2"/>
          <w:sz w:val="28"/>
          <w:szCs w:val="28"/>
          <w:highlight w:val="none"/>
          <w:u w:val="single"/>
          <w:lang w:val="en-US" w:eastAsia="zh-CN"/>
        </w:rPr>
        <w:t>1384147.24元</w:t>
      </w:r>
      <w:r>
        <w:rPr>
          <w:rFonts w:hint="eastAsia" w:ascii="仿宋_GB2312" w:hAnsi="宋体" w:eastAsia="仿宋_GB2312" w:cs="宋体"/>
          <w:bCs/>
          <w:color w:val="auto"/>
          <w:kern w:val="2"/>
          <w:sz w:val="28"/>
          <w:szCs w:val="28"/>
          <w:highlight w:val="none"/>
          <w:u w:val="single"/>
        </w:rPr>
        <w:t xml:space="preserve">  </w:t>
      </w:r>
      <w:r>
        <w:rPr>
          <w:rFonts w:hint="eastAsia" w:ascii="仿宋_GB2312" w:hAnsi="宋体" w:eastAsia="仿宋_GB2312" w:cs="宋体"/>
          <w:bCs/>
          <w:color w:val="auto"/>
          <w:kern w:val="2"/>
          <w:sz w:val="28"/>
          <w:szCs w:val="28"/>
          <w:highlight w:val="none"/>
        </w:rPr>
        <w:t>，低于或等于</w:t>
      </w:r>
      <w:r>
        <w:rPr>
          <w:rFonts w:hint="eastAsia" w:ascii="仿宋_GB2312" w:hAnsi="宋体" w:eastAsia="仿宋_GB2312" w:cs="宋体"/>
          <w:bCs/>
          <w:color w:val="auto"/>
          <w:kern w:val="2"/>
          <w:sz w:val="28"/>
          <w:szCs w:val="28"/>
          <w:highlight w:val="none"/>
          <w:lang w:eastAsia="zh-CN"/>
        </w:rPr>
        <w:t>比选</w:t>
      </w:r>
      <w:r>
        <w:rPr>
          <w:rFonts w:hint="eastAsia" w:ascii="仿宋_GB2312" w:hAnsi="宋体" w:eastAsia="仿宋_GB2312" w:cs="宋体"/>
          <w:bCs/>
          <w:color w:val="auto"/>
          <w:kern w:val="2"/>
          <w:sz w:val="28"/>
          <w:szCs w:val="28"/>
          <w:highlight w:val="none"/>
        </w:rPr>
        <w:t>控制价的报价为有效报价，超出此</w:t>
      </w:r>
      <w:r>
        <w:rPr>
          <w:rFonts w:hint="eastAsia" w:ascii="仿宋_GB2312" w:hAnsi="宋体" w:eastAsia="仿宋_GB2312" w:cs="宋体"/>
          <w:bCs/>
          <w:color w:val="auto"/>
          <w:kern w:val="2"/>
          <w:sz w:val="28"/>
          <w:szCs w:val="28"/>
          <w:highlight w:val="none"/>
          <w:lang w:eastAsia="zh-CN"/>
        </w:rPr>
        <w:t>比选</w:t>
      </w:r>
      <w:r>
        <w:rPr>
          <w:rFonts w:hint="eastAsia" w:ascii="仿宋_GB2312" w:hAnsi="宋体" w:eastAsia="仿宋_GB2312" w:cs="宋体"/>
          <w:bCs/>
          <w:color w:val="auto"/>
          <w:kern w:val="2"/>
          <w:sz w:val="28"/>
          <w:szCs w:val="28"/>
          <w:highlight w:val="none"/>
        </w:rPr>
        <w:t>控制价的报价为无效报价。</w:t>
      </w:r>
    </w:p>
    <w:p>
      <w:p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1</w:t>
      </w:r>
      <w:r>
        <w:rPr>
          <w:rFonts w:hint="eastAsia" w:ascii="仿宋_GB2312" w:hAnsi="宋体" w:eastAsia="仿宋_GB2312" w:cs="宋体"/>
          <w:bCs/>
          <w:color w:val="auto"/>
          <w:sz w:val="28"/>
          <w:szCs w:val="28"/>
          <w:highlight w:val="none"/>
        </w:rPr>
        <w:t>）比选报价评审（</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w:t>
      </w:r>
    </w:p>
    <w:p>
      <w:pPr>
        <w:pStyle w:val="17"/>
        <w:spacing w:line="560" w:lineRule="exact"/>
        <w:ind w:firstLine="0" w:firstLineChars="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 xml:space="preserve">    以有效报价的算术平均值为评比基准价。</w:t>
      </w:r>
    </w:p>
    <w:p>
      <w:pPr>
        <w:pStyle w:val="17"/>
        <w:spacing w:line="560" w:lineRule="exact"/>
        <w:ind w:firstLine="0" w:firstLineChars="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 xml:space="preserve">    比选报价为评比基准价的得满分</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0分，比选报价每比评标基准价高一个百分点减0.5分，低一个百分点减0.25分，减完为止。</w:t>
      </w:r>
    </w:p>
    <w:p>
      <w:pPr>
        <w:numPr>
          <w:ilvl w:val="0"/>
          <w:numId w:val="1"/>
        </w:num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lang w:eastAsia="zh-CN"/>
        </w:rPr>
        <w:t>商务部分</w:t>
      </w:r>
      <w:r>
        <w:rPr>
          <w:rFonts w:hint="eastAsia" w:ascii="仿宋_GB2312" w:hAnsi="宋体" w:eastAsia="仿宋_GB2312" w:cs="宋体"/>
          <w:bCs/>
          <w:color w:val="auto"/>
          <w:sz w:val="28"/>
          <w:szCs w:val="28"/>
          <w:highlight w:val="none"/>
        </w:rPr>
        <w:t>评审（</w:t>
      </w:r>
      <w:r>
        <w:rPr>
          <w:rFonts w:hint="eastAsia" w:ascii="仿宋_GB2312" w:hAnsi="宋体" w:eastAsia="仿宋_GB2312" w:cs="宋体"/>
          <w:bCs/>
          <w:color w:val="auto"/>
          <w:sz w:val="28"/>
          <w:szCs w:val="28"/>
          <w:highlight w:val="none"/>
          <w:lang w:val="en-US" w:eastAsia="zh-CN"/>
        </w:rPr>
        <w:t>15</w:t>
      </w:r>
      <w:r>
        <w:rPr>
          <w:rFonts w:hint="eastAsia" w:ascii="仿宋_GB2312" w:hAnsi="宋体" w:eastAsia="仿宋_GB2312" w:cs="宋体"/>
          <w:bCs/>
          <w:color w:val="auto"/>
          <w:sz w:val="28"/>
          <w:szCs w:val="28"/>
          <w:highlight w:val="none"/>
        </w:rPr>
        <w:t>分）</w:t>
      </w:r>
    </w:p>
    <w:tbl>
      <w:tblPr>
        <w:tblStyle w:val="13"/>
        <w:tblpPr w:leftFromText="180" w:rightFromText="180" w:vertAnchor="text" w:horzAnchor="page" w:tblpX="1878" w:tblpY="518"/>
        <w:tblOverlap w:val="never"/>
        <w:tblW w:w="91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1745"/>
        <w:gridCol w:w="1377"/>
        <w:gridCol w:w="5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782" w:type="dxa"/>
            <w:noWrap w:val="0"/>
            <w:vAlign w:val="center"/>
          </w:tcPr>
          <w:p>
            <w:pPr>
              <w:pStyle w:val="17"/>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序号</w:t>
            </w:r>
          </w:p>
        </w:tc>
        <w:tc>
          <w:tcPr>
            <w:tcW w:w="1745" w:type="dxa"/>
            <w:noWrap w:val="0"/>
            <w:vAlign w:val="center"/>
          </w:tcPr>
          <w:p>
            <w:pPr>
              <w:pStyle w:val="17"/>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评审内容</w:t>
            </w:r>
          </w:p>
        </w:tc>
        <w:tc>
          <w:tcPr>
            <w:tcW w:w="1377" w:type="dxa"/>
            <w:noWrap w:val="0"/>
            <w:vAlign w:val="center"/>
          </w:tcPr>
          <w:p>
            <w:pPr>
              <w:pStyle w:val="17"/>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最高得分</w:t>
            </w:r>
          </w:p>
        </w:tc>
        <w:tc>
          <w:tcPr>
            <w:tcW w:w="5264" w:type="dxa"/>
            <w:noWrap w:val="0"/>
            <w:vAlign w:val="center"/>
          </w:tcPr>
          <w:p>
            <w:pPr>
              <w:pStyle w:val="17"/>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9" w:hRule="atLeast"/>
        </w:trPr>
        <w:tc>
          <w:tcPr>
            <w:tcW w:w="782" w:type="dxa"/>
            <w:noWrap w:val="0"/>
            <w:vAlign w:val="center"/>
          </w:tcPr>
          <w:p>
            <w:pPr>
              <w:pStyle w:val="17"/>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1745" w:type="dxa"/>
            <w:noWrap w:val="0"/>
            <w:vAlign w:val="center"/>
          </w:tcPr>
          <w:p>
            <w:pPr>
              <w:pStyle w:val="16"/>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售后服务</w:t>
            </w:r>
          </w:p>
        </w:tc>
        <w:tc>
          <w:tcPr>
            <w:tcW w:w="1377" w:type="dxa"/>
            <w:noWrap w:val="0"/>
            <w:vAlign w:val="center"/>
          </w:tcPr>
          <w:p>
            <w:pPr>
              <w:pStyle w:val="16"/>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p>
        </w:tc>
        <w:tc>
          <w:tcPr>
            <w:tcW w:w="5264" w:type="dxa"/>
            <w:noWrap w:val="0"/>
            <w:vAlign w:val="center"/>
          </w:tcPr>
          <w:p>
            <w:pPr>
              <w:pStyle w:val="16"/>
              <w:ind w:firstLine="480" w:firstLineChars="20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投标人响应售后服务时间能满足7X24小时，一般故障恢复时间能满足2小时修复，紧急故障恢复时间满足1小时修复得</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,否则不得分</w:t>
            </w:r>
            <w:r>
              <w:rPr>
                <w:rFonts w:hint="eastAsia" w:ascii="仿宋_GB2312" w:hAnsi="仿宋_GB2312" w:eastAsia="仿宋_GB2312" w:cs="仿宋_GB2312"/>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center"/>
          </w:tcPr>
          <w:p>
            <w:pPr>
              <w:ind w:firstLine="240" w:firstLineChars="1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745" w:type="dxa"/>
            <w:noWrap w:val="0"/>
            <w:vAlign w:val="center"/>
          </w:tcPr>
          <w:p>
            <w:pPr>
              <w:pStyle w:val="16"/>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类似业绩</w:t>
            </w:r>
          </w:p>
        </w:tc>
        <w:tc>
          <w:tcPr>
            <w:tcW w:w="1377" w:type="dxa"/>
            <w:noWrap w:val="0"/>
            <w:vAlign w:val="center"/>
          </w:tcPr>
          <w:p>
            <w:pPr>
              <w:pStyle w:val="16"/>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分</w:t>
            </w:r>
          </w:p>
        </w:tc>
        <w:tc>
          <w:tcPr>
            <w:tcW w:w="5264" w:type="dxa"/>
            <w:noWrap w:val="0"/>
            <w:vAlign w:val="center"/>
          </w:tcPr>
          <w:p>
            <w:pPr>
              <w:pStyle w:val="16"/>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除满足资格条件外的企业业绩，近五年（2019年5月1日至今）每增加一项类似业绩（50万或以上（含50万）类似红绿灯交通工程施工业绩）得5分，此项最高得10分。注：以合同签订日期为准。</w:t>
            </w:r>
          </w:p>
        </w:tc>
      </w:tr>
    </w:tbl>
    <w:p>
      <w:pPr>
        <w:pStyle w:val="17"/>
        <w:spacing w:line="560" w:lineRule="exact"/>
        <w:ind w:left="0" w:leftChars="0"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3</w:t>
      </w: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eastAsia="zh-CN"/>
        </w:rPr>
        <w:t>技术部分</w:t>
      </w:r>
      <w:r>
        <w:rPr>
          <w:rFonts w:hint="eastAsia" w:ascii="仿宋_GB2312" w:hAnsi="宋体" w:eastAsia="仿宋_GB2312" w:cs="宋体"/>
          <w:bCs/>
          <w:color w:val="auto"/>
          <w:sz w:val="28"/>
          <w:szCs w:val="28"/>
          <w:highlight w:val="none"/>
        </w:rPr>
        <w:t>评审（</w:t>
      </w:r>
      <w:r>
        <w:rPr>
          <w:rFonts w:hint="eastAsia" w:ascii="仿宋_GB2312" w:hAnsi="宋体" w:eastAsia="仿宋_GB2312" w:cs="宋体"/>
          <w:bCs/>
          <w:color w:val="auto"/>
          <w:sz w:val="28"/>
          <w:szCs w:val="28"/>
          <w:highlight w:val="none"/>
          <w:lang w:val="en-US" w:eastAsia="zh-CN"/>
        </w:rPr>
        <w:t>35</w:t>
      </w:r>
      <w:r>
        <w:rPr>
          <w:rFonts w:hint="eastAsia" w:ascii="仿宋_GB2312" w:hAnsi="宋体" w:eastAsia="仿宋_GB2312" w:cs="宋体"/>
          <w:bCs/>
          <w:color w:val="auto"/>
          <w:sz w:val="28"/>
          <w:szCs w:val="28"/>
          <w:highlight w:val="none"/>
        </w:rPr>
        <w:t>分）</w:t>
      </w:r>
    </w:p>
    <w:tbl>
      <w:tblPr>
        <w:tblStyle w:val="13"/>
        <w:tblpPr w:leftFromText="180" w:rightFromText="180" w:vertAnchor="text" w:horzAnchor="page" w:tblpX="1878" w:tblpY="518"/>
        <w:tblOverlap w:val="never"/>
        <w:tblW w:w="91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1745"/>
        <w:gridCol w:w="1377"/>
        <w:gridCol w:w="5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782" w:type="dxa"/>
            <w:noWrap w:val="0"/>
            <w:vAlign w:val="center"/>
          </w:tcPr>
          <w:p>
            <w:pPr>
              <w:pStyle w:val="17"/>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序号</w:t>
            </w:r>
          </w:p>
        </w:tc>
        <w:tc>
          <w:tcPr>
            <w:tcW w:w="1745" w:type="dxa"/>
            <w:noWrap w:val="0"/>
            <w:vAlign w:val="center"/>
          </w:tcPr>
          <w:p>
            <w:pPr>
              <w:pStyle w:val="17"/>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项目</w:t>
            </w:r>
          </w:p>
        </w:tc>
        <w:tc>
          <w:tcPr>
            <w:tcW w:w="1377" w:type="dxa"/>
            <w:noWrap w:val="0"/>
            <w:vAlign w:val="center"/>
          </w:tcPr>
          <w:p>
            <w:pPr>
              <w:pStyle w:val="17"/>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最高得分</w:t>
            </w:r>
          </w:p>
        </w:tc>
        <w:tc>
          <w:tcPr>
            <w:tcW w:w="5250" w:type="dxa"/>
            <w:noWrap w:val="0"/>
            <w:vAlign w:val="center"/>
          </w:tcPr>
          <w:p>
            <w:pPr>
              <w:pStyle w:val="17"/>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782" w:type="dxa"/>
            <w:noWrap w:val="0"/>
            <w:vAlign w:val="center"/>
          </w:tcPr>
          <w:p>
            <w:pPr>
              <w:pStyle w:val="17"/>
              <w:spacing w:line="500" w:lineRule="exact"/>
              <w:ind w:firstLine="0" w:firstLineChars="0"/>
              <w:jc w:val="center"/>
              <w:rPr>
                <w:rFonts w:hint="eastAsia" w:ascii="仿宋_GB2312" w:hAnsi="宋体" w:eastAsia="仿宋_GB2312" w:cs="宋体"/>
                <w:bCs/>
                <w:color w:val="auto"/>
                <w:sz w:val="24"/>
                <w:szCs w:val="24"/>
                <w:highlight w:val="none"/>
                <w:lang w:val="en-US" w:eastAsia="zh-CN"/>
              </w:rPr>
            </w:pPr>
            <w:r>
              <w:rPr>
                <w:rFonts w:hint="eastAsia" w:ascii="仿宋_GB2312" w:hAnsi="宋体" w:eastAsia="仿宋_GB2312" w:cs="宋体"/>
                <w:bCs/>
                <w:color w:val="auto"/>
                <w:sz w:val="24"/>
                <w:szCs w:val="24"/>
                <w:highlight w:val="none"/>
                <w:lang w:val="en-US" w:eastAsia="zh-CN"/>
              </w:rPr>
              <w:t>1</w:t>
            </w:r>
          </w:p>
        </w:tc>
        <w:tc>
          <w:tcPr>
            <w:tcW w:w="1745" w:type="dxa"/>
            <w:noWrap w:val="0"/>
            <w:vAlign w:val="center"/>
          </w:tcPr>
          <w:p>
            <w:pPr>
              <w:pStyle w:val="16"/>
              <w:spacing w:line="360" w:lineRule="auto"/>
              <w:jc w:val="center"/>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质量保证措施</w:t>
            </w:r>
          </w:p>
        </w:tc>
        <w:tc>
          <w:tcPr>
            <w:tcW w:w="1377" w:type="dxa"/>
            <w:noWrap w:val="0"/>
            <w:vAlign w:val="center"/>
          </w:tcPr>
          <w:p>
            <w:pPr>
              <w:pStyle w:val="16"/>
              <w:spacing w:line="360" w:lineRule="auto"/>
              <w:jc w:val="center"/>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5分</w:t>
            </w:r>
          </w:p>
        </w:tc>
        <w:tc>
          <w:tcPr>
            <w:tcW w:w="5250" w:type="dxa"/>
            <w:noWrap w:val="0"/>
            <w:vAlign w:val="top"/>
          </w:tcPr>
          <w:p>
            <w:pPr>
              <w:pStyle w:val="16"/>
              <w:spacing w:line="360" w:lineRule="auto"/>
              <w:ind w:firstLine="480" w:firstLineChars="200"/>
              <w:jc w:val="both"/>
              <w:rPr>
                <w:rFonts w:hint="default" w:ascii="仿宋_GB2312" w:hAnsi="宋体" w:eastAsia="等线"/>
                <w:color w:val="auto"/>
                <w:sz w:val="24"/>
                <w:szCs w:val="24"/>
                <w:highlight w:val="none"/>
                <w:lang w:val="en-US" w:eastAsia="zh-CN"/>
              </w:rPr>
            </w:pPr>
            <w:r>
              <w:rPr>
                <w:rFonts w:hint="eastAsia" w:ascii="仿宋_GB2312" w:hAnsi="宋体" w:eastAsia="仿宋_GB2312" w:cs="Times New Roman"/>
                <w:snapToGrid w:val="0"/>
                <w:color w:val="auto"/>
                <w:sz w:val="24"/>
                <w:szCs w:val="24"/>
                <w:highlight w:val="none"/>
                <w:lang w:val="en-US" w:eastAsia="zh-CN" w:bidi="ar-SA"/>
              </w:rPr>
              <w:t>比选申请人的质量目标明确，质量保证措施和体系合理先进并具有详细的实施内容的，得3—5分，否则1—2分。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782" w:type="dxa"/>
            <w:noWrap w:val="0"/>
            <w:vAlign w:val="center"/>
          </w:tcPr>
          <w:p>
            <w:pPr>
              <w:pStyle w:val="17"/>
              <w:spacing w:line="500" w:lineRule="exact"/>
              <w:ind w:firstLine="0" w:firstLineChars="0"/>
              <w:jc w:val="center"/>
              <w:rPr>
                <w:rFonts w:hint="default" w:ascii="仿宋_GB2312" w:hAnsi="宋体" w:eastAsia="仿宋_GB2312" w:cs="宋体"/>
                <w:bCs/>
                <w:color w:val="auto"/>
                <w:sz w:val="24"/>
                <w:szCs w:val="24"/>
                <w:highlight w:val="none"/>
                <w:lang w:val="en-US" w:eastAsia="zh-CN"/>
              </w:rPr>
            </w:pPr>
            <w:r>
              <w:rPr>
                <w:rFonts w:hint="eastAsia" w:ascii="仿宋_GB2312" w:hAnsi="宋体" w:eastAsia="仿宋_GB2312" w:cs="宋体"/>
                <w:bCs/>
                <w:color w:val="auto"/>
                <w:sz w:val="24"/>
                <w:szCs w:val="24"/>
                <w:highlight w:val="none"/>
                <w:lang w:val="en-US" w:eastAsia="zh-CN"/>
              </w:rPr>
              <w:t>2</w:t>
            </w:r>
          </w:p>
        </w:tc>
        <w:tc>
          <w:tcPr>
            <w:tcW w:w="1745" w:type="dxa"/>
            <w:noWrap w:val="0"/>
            <w:vAlign w:val="center"/>
          </w:tcPr>
          <w:p>
            <w:pPr>
              <w:pStyle w:val="16"/>
              <w:spacing w:line="360" w:lineRule="auto"/>
              <w:jc w:val="center"/>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实施方案</w:t>
            </w:r>
          </w:p>
        </w:tc>
        <w:tc>
          <w:tcPr>
            <w:tcW w:w="1377" w:type="dxa"/>
            <w:noWrap w:val="0"/>
            <w:vAlign w:val="center"/>
          </w:tcPr>
          <w:p>
            <w:pPr>
              <w:pStyle w:val="16"/>
              <w:spacing w:line="360" w:lineRule="auto"/>
              <w:jc w:val="center"/>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15分</w:t>
            </w:r>
          </w:p>
        </w:tc>
        <w:tc>
          <w:tcPr>
            <w:tcW w:w="5250" w:type="dxa"/>
            <w:noWrap w:val="0"/>
            <w:vAlign w:val="top"/>
          </w:tcPr>
          <w:p>
            <w:pPr>
              <w:pStyle w:val="16"/>
              <w:spacing w:line="360" w:lineRule="auto"/>
              <w:ind w:firstLine="480" w:firstLineChars="200"/>
              <w:jc w:val="both"/>
              <w:rPr>
                <w:rFonts w:hint="eastAsia" w:ascii="仿宋_GB2312" w:hAnsi="宋体" w:eastAsia="仿宋_GB2312" w:cs="Times New Roman"/>
                <w:snapToGrid w:val="0"/>
                <w:color w:val="auto"/>
                <w:sz w:val="24"/>
                <w:szCs w:val="24"/>
                <w:highlight w:val="none"/>
                <w:lang w:val="en-US" w:eastAsia="zh-CN" w:bidi="ar-SA"/>
              </w:rPr>
            </w:pPr>
            <w:r>
              <w:rPr>
                <w:rFonts w:hint="eastAsia" w:ascii="仿宋_GB2312" w:hAnsi="宋体" w:eastAsia="仿宋_GB2312" w:cs="Times New Roman"/>
                <w:snapToGrid w:val="0"/>
                <w:color w:val="auto"/>
                <w:sz w:val="24"/>
                <w:szCs w:val="24"/>
                <w:highlight w:val="none"/>
                <w:lang w:val="en-US" w:eastAsia="zh-CN" w:bidi="ar-SA"/>
              </w:rPr>
              <w:t>针对本项目需求制定实施方案，包括但不限于项目实施组织计划、人员安排、安全文明实施措施等内容，安装及调试方案等。施工方案科学、完整，实施计划安排、各阶段工作划分与衔接明确、任务设计和方案合理、可行，满足比选人要求，并能保证工期和质量目标的得12—15分，次之视实施方案质量得3—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782" w:type="dxa"/>
            <w:noWrap w:val="0"/>
            <w:vAlign w:val="center"/>
          </w:tcPr>
          <w:p>
            <w:pPr>
              <w:pStyle w:val="17"/>
              <w:spacing w:line="500" w:lineRule="exact"/>
              <w:ind w:firstLine="0" w:firstLineChars="0"/>
              <w:jc w:val="center"/>
              <w:rPr>
                <w:rFonts w:hint="default" w:ascii="仿宋_GB2312" w:hAnsi="宋体" w:eastAsia="仿宋_GB2312" w:cs="宋体"/>
                <w:bCs/>
                <w:color w:val="auto"/>
                <w:sz w:val="24"/>
                <w:szCs w:val="24"/>
                <w:highlight w:val="none"/>
                <w:lang w:val="en-US" w:eastAsia="zh-CN"/>
              </w:rPr>
            </w:pPr>
            <w:r>
              <w:rPr>
                <w:rFonts w:hint="eastAsia" w:ascii="仿宋_GB2312" w:hAnsi="宋体" w:eastAsia="仿宋_GB2312" w:cs="宋体"/>
                <w:bCs/>
                <w:color w:val="auto"/>
                <w:sz w:val="24"/>
                <w:szCs w:val="24"/>
                <w:highlight w:val="none"/>
                <w:lang w:val="en-US" w:eastAsia="zh-CN"/>
              </w:rPr>
              <w:t>3</w:t>
            </w:r>
          </w:p>
        </w:tc>
        <w:tc>
          <w:tcPr>
            <w:tcW w:w="1745" w:type="dxa"/>
            <w:noWrap w:val="0"/>
            <w:vAlign w:val="center"/>
          </w:tcPr>
          <w:p>
            <w:pPr>
              <w:pStyle w:val="16"/>
              <w:spacing w:line="360" w:lineRule="auto"/>
              <w:jc w:val="center"/>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关键系统技术解决方案</w:t>
            </w:r>
          </w:p>
        </w:tc>
        <w:tc>
          <w:tcPr>
            <w:tcW w:w="1377" w:type="dxa"/>
            <w:noWrap w:val="0"/>
            <w:vAlign w:val="center"/>
          </w:tcPr>
          <w:p>
            <w:pPr>
              <w:pStyle w:val="16"/>
              <w:spacing w:line="360" w:lineRule="auto"/>
              <w:jc w:val="center"/>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5</w:t>
            </w:r>
          </w:p>
        </w:tc>
        <w:tc>
          <w:tcPr>
            <w:tcW w:w="5250" w:type="dxa"/>
            <w:noWrap w:val="0"/>
            <w:vAlign w:val="top"/>
          </w:tcPr>
          <w:p>
            <w:pPr>
              <w:pStyle w:val="16"/>
              <w:spacing w:line="360" w:lineRule="auto"/>
              <w:ind w:firstLine="480" w:firstLineChars="200"/>
              <w:jc w:val="both"/>
              <w:rPr>
                <w:rFonts w:hint="default" w:ascii="仿宋_GB2312" w:hAnsi="宋体" w:eastAsia="仿宋_GB2312" w:cs="Times New Roman"/>
                <w:snapToGrid w:val="0"/>
                <w:color w:val="auto"/>
                <w:sz w:val="24"/>
                <w:szCs w:val="24"/>
                <w:highlight w:val="none"/>
                <w:lang w:val="en-US" w:eastAsia="zh-CN" w:bidi="ar-SA"/>
              </w:rPr>
            </w:pPr>
            <w:r>
              <w:rPr>
                <w:rFonts w:hint="eastAsia" w:ascii="仿宋_GB2312" w:hAnsi="宋体" w:eastAsia="仿宋_GB2312" w:cs="Times New Roman"/>
                <w:snapToGrid w:val="0"/>
                <w:color w:val="auto"/>
                <w:sz w:val="24"/>
                <w:szCs w:val="24"/>
                <w:highlight w:val="none"/>
                <w:lang w:val="en-US" w:eastAsia="zh-CN" w:bidi="ar-SA"/>
              </w:rPr>
              <w:t>完全响应，并在解决系统关键问题、系统扩展性考虑、体系结构设计思想合理可行，体现一定前瞻性的得3—5分，基本响应的，是响应程度得1—2分。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782" w:type="dxa"/>
            <w:noWrap w:val="0"/>
            <w:vAlign w:val="center"/>
          </w:tcPr>
          <w:p>
            <w:pPr>
              <w:ind w:firstLine="240" w:firstLineChars="100"/>
              <w:jc w:val="both"/>
              <w:rPr>
                <w:rFonts w:hint="default" w:ascii="仿宋_GB2312" w:hAnsi="宋体" w:eastAsia="仿宋_GB2312" w:cs="宋体"/>
                <w:bCs/>
                <w:color w:val="auto"/>
                <w:sz w:val="24"/>
                <w:szCs w:val="24"/>
                <w:highlight w:val="none"/>
                <w:lang w:val="en-US" w:eastAsia="zh-CN"/>
              </w:rPr>
            </w:pPr>
            <w:r>
              <w:rPr>
                <w:rFonts w:hint="eastAsia" w:ascii="仿宋_GB2312" w:hAnsi="宋体" w:eastAsia="仿宋_GB2312" w:cs="宋体"/>
                <w:bCs/>
                <w:color w:val="auto"/>
                <w:sz w:val="24"/>
                <w:szCs w:val="24"/>
                <w:highlight w:val="none"/>
                <w:lang w:val="en-US" w:eastAsia="zh-CN"/>
              </w:rPr>
              <w:t>4</w:t>
            </w:r>
          </w:p>
        </w:tc>
        <w:tc>
          <w:tcPr>
            <w:tcW w:w="1745" w:type="dxa"/>
            <w:noWrap w:val="0"/>
            <w:vAlign w:val="center"/>
          </w:tcPr>
          <w:p>
            <w:pPr>
              <w:pStyle w:val="16"/>
              <w:jc w:val="center"/>
              <w:rPr>
                <w:rFonts w:hint="eastAsia" w:ascii="仿宋_GB2312" w:hAnsi="宋体" w:eastAsia="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信号灯产品</w:t>
            </w:r>
          </w:p>
        </w:tc>
        <w:tc>
          <w:tcPr>
            <w:tcW w:w="1377" w:type="dxa"/>
            <w:noWrap w:val="0"/>
            <w:vAlign w:val="center"/>
          </w:tcPr>
          <w:p>
            <w:pPr>
              <w:pStyle w:val="16"/>
              <w:jc w:val="center"/>
              <w:rPr>
                <w:rFonts w:hint="eastAsia" w:ascii="仿宋_GB2312" w:hAnsi="宋体" w:eastAsia="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10分</w:t>
            </w:r>
          </w:p>
        </w:tc>
        <w:tc>
          <w:tcPr>
            <w:tcW w:w="5250" w:type="dxa"/>
            <w:noWrap w:val="0"/>
            <w:vAlign w:val="center"/>
          </w:tcPr>
          <w:p>
            <w:pPr>
              <w:pStyle w:val="16"/>
              <w:numPr>
                <w:ilvl w:val="0"/>
                <w:numId w:val="0"/>
              </w:numPr>
              <w:ind w:firstLine="480" w:firstLineChars="200"/>
              <w:jc w:val="left"/>
              <w:rPr>
                <w:rFonts w:hint="eastAsia" w:ascii="仿宋_GB2312" w:hAnsi="宋体" w:eastAsia="仿宋_GB2312" w:cs="Times New Roman"/>
                <w:snapToGrid w:val="0"/>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比选</w:t>
            </w:r>
            <w:r>
              <w:rPr>
                <w:rFonts w:hint="default" w:ascii="仿宋_GB2312" w:hAnsi="仿宋_GB2312" w:eastAsia="仿宋_GB2312" w:cs="仿宋_GB2312"/>
                <w:color w:val="auto"/>
                <w:sz w:val="24"/>
                <w:szCs w:val="24"/>
                <w:highlight w:val="none"/>
                <w:lang w:val="en-US" w:eastAsia="zh-CN"/>
              </w:rPr>
              <w:t>人具有符合《道路交通信号控制机》(GB25280-2016)中的规范要求，并提供公安部交通安全产品质量监督检测中心出具的检测报告的得2分;</w:t>
            </w:r>
            <w:r>
              <w:rPr>
                <w:rFonts w:hint="eastAsia" w:ascii="仿宋_GB2312" w:hAnsi="仿宋_GB2312" w:eastAsia="仿宋_GB2312" w:cs="仿宋_GB2312"/>
                <w:color w:val="auto"/>
                <w:sz w:val="24"/>
                <w:szCs w:val="24"/>
                <w:highlight w:val="none"/>
                <w:lang w:val="en-US" w:eastAsia="zh-CN"/>
              </w:rPr>
              <w:t>比选</w:t>
            </w:r>
            <w:r>
              <w:rPr>
                <w:rFonts w:hint="default" w:ascii="仿宋_GB2312" w:hAnsi="仿宋_GB2312" w:eastAsia="仿宋_GB2312" w:cs="仿宋_GB2312"/>
                <w:color w:val="auto"/>
                <w:sz w:val="24"/>
                <w:szCs w:val="24"/>
                <w:highlight w:val="none"/>
                <w:lang w:val="en-US" w:eastAsia="zh-CN"/>
              </w:rPr>
              <w:t>人具有公安部交通安全产品质量监督检测中心出具的交通信号灯、箭头信号灯、人行信号灯、倒计时器(跟随式)检测报告，每提供一项得2分，满分8分;</w:t>
            </w:r>
          </w:p>
        </w:tc>
      </w:tr>
    </w:tbl>
    <w:p>
      <w:pPr>
        <w:pStyle w:val="17"/>
        <w:spacing w:line="500" w:lineRule="exact"/>
        <w:ind w:firstLine="0" w:firstLineChars="0"/>
        <w:rPr>
          <w:rFonts w:hint="eastAsia" w:ascii="仿宋_GB2312" w:hAnsi="仿宋" w:eastAsia="仿宋_GB2312" w:cs="宋体"/>
          <w:snapToGrid/>
          <w:color w:val="auto"/>
          <w:spacing w:val="4"/>
          <w:sz w:val="28"/>
          <w:szCs w:val="28"/>
          <w:highlight w:val="none"/>
        </w:rPr>
      </w:pPr>
      <w:r>
        <w:rPr>
          <w:rFonts w:hint="eastAsia" w:ascii="仿宋_GB2312" w:hAnsi="宋体" w:eastAsia="仿宋_GB2312" w:cs="宋体"/>
          <w:bCs/>
          <w:color w:val="auto"/>
          <w:sz w:val="28"/>
          <w:szCs w:val="28"/>
          <w:highlight w:val="none"/>
        </w:rPr>
        <w:t xml:space="preserve">  </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4.4 评比程序</w:t>
      </w:r>
    </w:p>
    <w:p>
      <w:pPr>
        <w:widowControl/>
        <w:spacing w:line="360" w:lineRule="auto"/>
        <w:ind w:firstLine="576"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4.4.1 初步评审</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评比委员会按照本章第4.</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.1项规定的初步评审标准，对比选申请文件进行评审，有一项不符合评审标准的，</w:t>
      </w:r>
      <w:r>
        <w:rPr>
          <w:rFonts w:hint="eastAsia" w:ascii="仿宋_GB2312" w:hAnsi="仿宋" w:eastAsia="仿宋_GB2312" w:cs="宋体"/>
          <w:snapToGrid/>
          <w:color w:val="auto"/>
          <w:spacing w:val="4"/>
          <w:sz w:val="28"/>
          <w:szCs w:val="28"/>
          <w:highlight w:val="none"/>
          <w:lang w:eastAsia="zh-CN"/>
        </w:rPr>
        <w:t>作</w:t>
      </w:r>
      <w:r>
        <w:rPr>
          <w:rFonts w:hint="eastAsia" w:ascii="仿宋_GB2312" w:hAnsi="仿宋" w:eastAsia="仿宋_GB2312" w:cs="宋体"/>
          <w:snapToGrid/>
          <w:color w:val="auto"/>
          <w:spacing w:val="4"/>
          <w:sz w:val="28"/>
          <w:szCs w:val="28"/>
          <w:highlight w:val="none"/>
        </w:rPr>
        <w:t>无效处理，不得通过符合性审查。</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 详细评审</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4.4.2.1 评比委员会按照本章4.</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.2项规定的评分标准和分值进行打分。</w:t>
      </w:r>
    </w:p>
    <w:p>
      <w:pPr>
        <w:widowControl/>
        <w:spacing w:line="360" w:lineRule="auto"/>
        <w:ind w:firstLine="489"/>
        <w:jc w:val="left"/>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4.4.2.2比选申请人得分=评比委员会成员所有评分的算术平均值。</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 评标结果</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4.4.3.1评比委员会按照第三章《比选申请人须知》第3.</w:t>
      </w:r>
      <w:r>
        <w:rPr>
          <w:rFonts w:hint="eastAsia" w:ascii="仿宋_GB2312" w:hAnsi="仿宋" w:eastAsia="仿宋_GB2312" w:cs="宋体"/>
          <w:snapToGrid/>
          <w:color w:val="auto"/>
          <w:spacing w:val="4"/>
          <w:sz w:val="28"/>
          <w:szCs w:val="28"/>
          <w:highlight w:val="none"/>
          <w:lang w:val="en-US" w:eastAsia="zh-CN"/>
        </w:rPr>
        <w:t>5</w:t>
      </w:r>
      <w:r>
        <w:rPr>
          <w:rFonts w:hint="eastAsia" w:ascii="仿宋_GB2312" w:hAnsi="仿宋" w:eastAsia="仿宋_GB2312" w:cs="宋体"/>
          <w:snapToGrid/>
          <w:color w:val="auto"/>
          <w:spacing w:val="4"/>
          <w:sz w:val="28"/>
          <w:szCs w:val="28"/>
          <w:highlight w:val="none"/>
        </w:rPr>
        <w:t>.1项的规定确定中选人。</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4.4.3.2 评比委员会完成评标工作后，向比选人提交比选报告。</w:t>
      </w:r>
    </w:p>
    <w:p>
      <w:pPr>
        <w:pStyle w:val="2"/>
        <w:jc w:val="center"/>
        <w:rPr>
          <w:rFonts w:hint="eastAsia"/>
          <w:color w:val="auto"/>
          <w:highlight w:val="none"/>
        </w:rPr>
      </w:pPr>
      <w:bookmarkStart w:id="5" w:name="_Toc1720"/>
    </w:p>
    <w:p>
      <w:pPr>
        <w:pStyle w:val="2"/>
        <w:jc w:val="center"/>
        <w:rPr>
          <w:rFonts w:hint="eastAsia"/>
          <w:color w:val="auto"/>
          <w:highlight w:val="none"/>
        </w:rPr>
      </w:pPr>
    </w:p>
    <w:p>
      <w:pPr>
        <w:rPr>
          <w:rFonts w:hint="eastAsia"/>
          <w:color w:val="auto"/>
          <w:highlight w:val="none"/>
        </w:rPr>
      </w:pPr>
    </w:p>
    <w:p>
      <w:pPr>
        <w:rPr>
          <w:rFonts w:hint="eastAsia"/>
          <w:color w:val="auto"/>
          <w:highlight w:val="none"/>
        </w:rPr>
      </w:pPr>
    </w:p>
    <w:p>
      <w:pPr>
        <w:pStyle w:val="2"/>
        <w:jc w:val="cente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rPr>
          <w:rFonts w:hint="eastAsia" w:eastAsia="等线"/>
          <w:color w:val="auto"/>
          <w:highlight w:val="none"/>
          <w:lang w:eastAsia="zh-CN"/>
        </w:rPr>
      </w:pPr>
    </w:p>
    <w:p>
      <w:pPr>
        <w:pStyle w:val="2"/>
        <w:jc w:val="cente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jc w:val="center"/>
        <w:rPr>
          <w:color w:val="auto"/>
          <w:highlight w:val="none"/>
        </w:rPr>
      </w:pPr>
      <w:r>
        <w:rPr>
          <w:rFonts w:hint="eastAsia"/>
          <w:color w:val="auto"/>
          <w:highlight w:val="none"/>
        </w:rPr>
        <w:t>第五章  比选申请文件格式</w:t>
      </w:r>
      <w:bookmarkEnd w:id="5"/>
    </w:p>
    <w:p>
      <w:pPr>
        <w:widowControl/>
        <w:spacing w:line="360" w:lineRule="auto"/>
        <w:jc w:val="left"/>
        <w:rPr>
          <w:rFonts w:ascii="仿宋_GB2312" w:hAnsi="宋体" w:eastAsia="仿宋_GB2312" w:cs="宋体"/>
          <w:snapToGrid/>
          <w:color w:val="auto"/>
          <w:spacing w:val="4"/>
          <w:sz w:val="30"/>
          <w:szCs w:val="30"/>
          <w:highlight w:val="none"/>
        </w:rPr>
      </w:pPr>
    </w:p>
    <w:p>
      <w:pPr>
        <w:widowControl/>
        <w:spacing w:line="360" w:lineRule="auto"/>
        <w:jc w:val="lef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比选申请文件封面</w:t>
      </w:r>
      <w:r>
        <w:rPr>
          <w:rFonts w:hint="eastAsia" w:ascii="宋体" w:hAnsi="宋体" w:eastAsia="仿宋_GB2312" w:cs="宋体"/>
          <w:snapToGrid/>
          <w:color w:val="auto"/>
          <w:spacing w:val="4"/>
          <w:sz w:val="30"/>
          <w:szCs w:val="30"/>
          <w:highlight w:val="none"/>
        </w:rPr>
        <w:t>        </w:t>
      </w:r>
    </w:p>
    <w:p>
      <w:pPr>
        <w:widowControl/>
        <w:spacing w:line="360" w:lineRule="auto"/>
        <w:ind w:firstLine="3744"/>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righ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正本（或副本）</w:t>
      </w:r>
    </w:p>
    <w:p>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center"/>
        <w:rPr>
          <w:rFonts w:hint="eastAsia" w:ascii="仿宋_GB2312" w:hAnsi="仿宋" w:eastAsia="仿宋_GB2312" w:cs="宋体"/>
          <w:snapToGrid/>
          <w:color w:val="auto"/>
          <w:spacing w:val="4"/>
          <w:sz w:val="44"/>
          <w:szCs w:val="44"/>
          <w:highlight w:val="none"/>
          <w:lang w:val="en-US" w:eastAsia="zh-CN"/>
        </w:rPr>
      </w:pPr>
      <w:r>
        <w:rPr>
          <w:rFonts w:hint="eastAsia" w:ascii="仿宋_GB2312" w:hAnsi="仿宋" w:eastAsia="仿宋_GB2312" w:cs="宋体"/>
          <w:snapToGrid/>
          <w:color w:val="auto"/>
          <w:spacing w:val="4"/>
          <w:sz w:val="44"/>
          <w:szCs w:val="44"/>
          <w:highlight w:val="none"/>
          <w:lang w:val="en-US" w:eastAsia="zh-CN"/>
        </w:rPr>
        <w:t>“平安黄骅港”建设交通信号灯安装单位</w:t>
      </w:r>
    </w:p>
    <w:p>
      <w:pPr>
        <w:widowControl/>
        <w:spacing w:line="360" w:lineRule="auto"/>
        <w:jc w:val="center"/>
        <w:rPr>
          <w:rFonts w:hint="eastAsia" w:ascii="仿宋_GB2312" w:hAnsi="仿宋" w:eastAsia="仿宋_GB2312" w:cs="宋体"/>
          <w:snapToGrid/>
          <w:color w:val="auto"/>
          <w:sz w:val="44"/>
          <w:szCs w:val="44"/>
          <w:highlight w:val="none"/>
        </w:rPr>
      </w:pPr>
    </w:p>
    <w:p>
      <w:pPr>
        <w:widowControl/>
        <w:spacing w:line="360" w:lineRule="auto"/>
        <w:jc w:val="left"/>
        <w:rPr>
          <w:rFonts w:hint="eastAsia" w:ascii="仿宋_GB2312" w:hAnsi="宋体" w:eastAsia="仿宋_GB2312" w:cs="宋体"/>
          <w:snapToGrid/>
          <w:color w:val="auto"/>
          <w:sz w:val="15"/>
          <w:szCs w:val="15"/>
          <w:highlight w:val="none"/>
        </w:rPr>
      </w:pP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比</w:t>
      </w: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选</w:t>
      </w: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申</w:t>
      </w: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请</w:t>
      </w: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文</w:t>
      </w:r>
    </w:p>
    <w:p>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48"/>
          <w:szCs w:val="48"/>
          <w:highlight w:val="none"/>
        </w:rPr>
        <w:t>件</w:t>
      </w:r>
    </w:p>
    <w:p>
      <w:pPr>
        <w:widowControl/>
        <w:spacing w:line="360" w:lineRule="auto"/>
        <w:jc w:val="left"/>
        <w:rPr>
          <w:rFonts w:hint="eastAsia" w:ascii="仿宋_GB2312" w:hAnsi="宋体" w:eastAsia="仿宋_GB2312" w:cs="宋体"/>
          <w:snapToGrid/>
          <w:color w:val="auto"/>
          <w:sz w:val="15"/>
          <w:szCs w:val="15"/>
          <w:highlight w:val="none"/>
        </w:rPr>
      </w:pPr>
    </w:p>
    <w:p>
      <w:pPr>
        <w:widowControl/>
        <w:spacing w:line="360" w:lineRule="auto"/>
        <w:jc w:val="left"/>
        <w:rPr>
          <w:rFonts w:hint="eastAsia" w:ascii="仿宋_GB2312" w:hAnsi="宋体" w:eastAsia="仿宋_GB2312" w:cs="宋体"/>
          <w:snapToGrid/>
          <w:color w:val="auto"/>
          <w:sz w:val="15"/>
          <w:szCs w:val="15"/>
          <w:highlight w:val="none"/>
        </w:rPr>
      </w:pPr>
    </w:p>
    <w:p>
      <w:pPr>
        <w:widowControl/>
        <w:spacing w:line="360" w:lineRule="auto"/>
        <w:jc w:val="left"/>
        <w:rPr>
          <w:rFonts w:hint="eastAsia" w:ascii="仿宋_GB2312" w:hAnsi="宋体" w:eastAsia="仿宋_GB2312" w:cs="宋体"/>
          <w:snapToGrid/>
          <w:color w:val="auto"/>
          <w:sz w:val="15"/>
          <w:szCs w:val="15"/>
          <w:highlight w:val="none"/>
        </w:rPr>
      </w:pPr>
    </w:p>
    <w:p>
      <w:pPr>
        <w:widowControl/>
        <w:spacing w:line="360" w:lineRule="auto"/>
        <w:jc w:val="left"/>
        <w:rPr>
          <w:rFonts w:hint="eastAsia" w:ascii="仿宋_GB2312" w:hAnsi="宋体" w:eastAsia="仿宋_GB2312" w:cs="宋体"/>
          <w:snapToGrid/>
          <w:color w:val="auto"/>
          <w:sz w:val="15"/>
          <w:szCs w:val="15"/>
          <w:highlight w:val="none"/>
        </w:rPr>
      </w:pPr>
    </w:p>
    <w:p>
      <w:pPr>
        <w:widowControl/>
        <w:spacing w:line="360" w:lineRule="auto"/>
        <w:ind w:firstLine="924"/>
        <w:jc w:val="left"/>
        <w:rPr>
          <w:rFonts w:ascii="仿宋_GB2312" w:hAnsi="宋体" w:eastAsia="仿宋_GB2312" w:cs="宋体"/>
          <w:snapToGrid/>
          <w:color w:val="auto"/>
          <w:sz w:val="15"/>
          <w:szCs w:val="15"/>
          <w:highlight w:val="none"/>
        </w:rPr>
      </w:pPr>
      <w:r>
        <w:rPr>
          <w:rFonts w:hint="eastAsia" w:ascii="仿宋_GB2312" w:hAnsi="宋体" w:eastAsia="仿宋_GB2312" w:cs="宋体"/>
          <w:snapToGrid/>
          <w:color w:val="auto"/>
          <w:spacing w:val="4"/>
          <w:sz w:val="30"/>
          <w:szCs w:val="30"/>
          <w:highlight w:val="none"/>
        </w:rPr>
        <w:t>比选申请人名称：</w:t>
      </w:r>
      <w:r>
        <w:rPr>
          <w:rFonts w:hint="eastAsia" w:ascii="仿宋_GB2312" w:hAnsi="宋体" w:eastAsia="仿宋_GB2312" w:cs="宋体"/>
          <w:snapToGrid/>
          <w:color w:val="auto"/>
          <w:spacing w:val="4"/>
          <w:sz w:val="30"/>
          <w:szCs w:val="30"/>
          <w:highlight w:val="none"/>
          <w:u w:val="single"/>
        </w:rPr>
        <w:t>（全称并加盖企业及法人公章）</w:t>
      </w:r>
    </w:p>
    <w:p>
      <w:pPr>
        <w:widowControl/>
        <w:spacing w:line="360" w:lineRule="auto"/>
        <w:ind w:firstLine="3696"/>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z w:val="15"/>
          <w:szCs w:val="15"/>
          <w:highlight w:val="none"/>
        </w:rPr>
        <w:t> </w:t>
      </w:r>
    </w:p>
    <w:p>
      <w:pPr>
        <w:widowControl/>
        <w:spacing w:line="360" w:lineRule="auto"/>
        <w:ind w:firstLine="2744"/>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年</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月</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日</w:t>
      </w:r>
    </w:p>
    <w:p>
      <w:pPr>
        <w:widowControl/>
        <w:spacing w:line="360" w:lineRule="auto"/>
        <w:jc w:val="both"/>
        <w:rPr>
          <w:rFonts w:hint="eastAsia" w:ascii="宋体" w:hAnsi="宋体" w:cs="宋体"/>
          <w:snapToGrid/>
          <w:color w:val="auto"/>
          <w:sz w:val="44"/>
          <w:szCs w:val="44"/>
          <w:highlight w:val="none"/>
        </w:rPr>
      </w:pPr>
    </w:p>
    <w:p>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44"/>
          <w:szCs w:val="44"/>
          <w:highlight w:val="none"/>
        </w:rPr>
        <w:t>目    录</w:t>
      </w:r>
    </w:p>
    <w:p>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center"/>
        <w:rPr>
          <w:rFonts w:ascii="宋体" w:hAnsi="宋体" w:cs="宋体"/>
          <w:snapToGrid/>
          <w:color w:val="auto"/>
          <w:sz w:val="15"/>
          <w:szCs w:val="15"/>
          <w:highlight w:val="none"/>
        </w:rPr>
      </w:pPr>
    </w:p>
    <w:p>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一、符合性审查标准</w:t>
      </w:r>
      <w:r>
        <w:rPr>
          <w:rFonts w:hint="eastAsia" w:ascii="仿宋_GB2312" w:hAnsi="仿宋" w:eastAsia="仿宋_GB2312" w:cs="宋体"/>
          <w:snapToGrid/>
          <w:color w:val="auto"/>
          <w:spacing w:val="4"/>
          <w:sz w:val="28"/>
          <w:szCs w:val="28"/>
          <w:highlight w:val="none"/>
          <w:lang w:eastAsia="zh-CN"/>
        </w:rPr>
        <w:t>资料</w:t>
      </w:r>
    </w:p>
    <w:p>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eastAsia="zh-CN"/>
        </w:rPr>
        <w:t>二、</w:t>
      </w:r>
      <w:r>
        <w:rPr>
          <w:rFonts w:hint="eastAsia" w:ascii="仿宋_GB2312" w:hAnsi="仿宋" w:eastAsia="仿宋_GB2312" w:cs="宋体"/>
          <w:snapToGrid/>
          <w:color w:val="auto"/>
          <w:spacing w:val="4"/>
          <w:sz w:val="28"/>
          <w:szCs w:val="28"/>
          <w:highlight w:val="none"/>
        </w:rPr>
        <w:t>比选申请函</w:t>
      </w:r>
    </w:p>
    <w:p>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eastAsia="zh-CN"/>
        </w:rPr>
        <w:t>三</w:t>
      </w:r>
      <w:r>
        <w:rPr>
          <w:rFonts w:hint="eastAsia" w:ascii="仿宋_GB2312" w:hAnsi="仿宋" w:eastAsia="仿宋_GB2312" w:cs="宋体"/>
          <w:snapToGrid/>
          <w:color w:val="auto"/>
          <w:spacing w:val="4"/>
          <w:sz w:val="28"/>
          <w:szCs w:val="28"/>
          <w:highlight w:val="none"/>
        </w:rPr>
        <w:t>、报价文件</w:t>
      </w:r>
    </w:p>
    <w:p>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lang w:eastAsia="zh-CN"/>
        </w:rPr>
        <w:t>四</w:t>
      </w:r>
      <w:r>
        <w:rPr>
          <w:rFonts w:hint="eastAsia" w:ascii="仿宋_GB2312" w:hAnsi="仿宋" w:eastAsia="仿宋_GB2312" w:cs="宋体"/>
          <w:snapToGrid/>
          <w:color w:val="auto"/>
          <w:spacing w:val="4"/>
          <w:sz w:val="28"/>
          <w:szCs w:val="28"/>
          <w:highlight w:val="none"/>
        </w:rPr>
        <w:t>、类似业绩</w:t>
      </w:r>
    </w:p>
    <w:p>
      <w:pPr>
        <w:widowControl/>
        <w:spacing w:line="360" w:lineRule="auto"/>
        <w:jc w:val="left"/>
        <w:rPr>
          <w:rFonts w:hint="default"/>
          <w:lang w:val="en-US" w:eastAsia="zh-CN"/>
        </w:rPr>
      </w:pPr>
      <w:r>
        <w:rPr>
          <w:rFonts w:hint="eastAsia" w:ascii="仿宋_GB2312" w:hAnsi="仿宋" w:eastAsia="仿宋_GB2312" w:cs="宋体"/>
          <w:snapToGrid/>
          <w:color w:val="auto"/>
          <w:spacing w:val="4"/>
          <w:sz w:val="28"/>
          <w:szCs w:val="28"/>
          <w:highlight w:val="none"/>
          <w:lang w:eastAsia="zh-CN"/>
        </w:rPr>
        <w:t>五</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eastAsia="zh-CN"/>
        </w:rPr>
        <w:t>售后服务承诺</w:t>
      </w:r>
    </w:p>
    <w:p>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eastAsia="zh-CN"/>
        </w:rPr>
        <w:t>六</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val="en-US" w:eastAsia="zh-CN"/>
        </w:rPr>
        <w:t>质量保证措施</w:t>
      </w:r>
    </w:p>
    <w:p>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lang w:eastAsia="zh-CN"/>
        </w:rPr>
        <w:t>七、关键系统技术解决方案</w:t>
      </w:r>
    </w:p>
    <w:p>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lang w:eastAsia="zh-CN"/>
        </w:rPr>
        <w:t>八、实施方案</w:t>
      </w:r>
    </w:p>
    <w:p>
      <w:pPr>
        <w:widowControl/>
        <w:spacing w:line="360" w:lineRule="auto"/>
        <w:jc w:val="left"/>
        <w:rPr>
          <w:rFonts w:hint="default"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eastAsia="zh-CN"/>
        </w:rPr>
        <w:t>九、</w:t>
      </w:r>
      <w:r>
        <w:rPr>
          <w:rFonts w:hint="eastAsia" w:ascii="仿宋_GB2312" w:hAnsi="仿宋" w:eastAsia="仿宋_GB2312" w:cs="宋体"/>
          <w:snapToGrid/>
          <w:color w:val="auto"/>
          <w:spacing w:val="4"/>
          <w:sz w:val="28"/>
          <w:szCs w:val="28"/>
          <w:highlight w:val="none"/>
          <w:lang w:val="en-US" w:eastAsia="zh-CN"/>
        </w:rPr>
        <w:t>信号灯产品</w:t>
      </w:r>
    </w:p>
    <w:p>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lang w:eastAsia="zh-CN"/>
        </w:rPr>
        <w:t>十、比选申请人认为需要提交的其他资料</w:t>
      </w:r>
    </w:p>
    <w:p>
      <w:pPr>
        <w:adjustRightInd w:val="0"/>
        <w:spacing w:after="156" w:afterLines="50" w:line="360" w:lineRule="auto"/>
        <w:jc w:val="center"/>
        <w:rPr>
          <w:rFonts w:ascii="仿宋" w:hAnsi="仿宋" w:eastAsia="仿宋"/>
          <w:b/>
          <w:color w:val="auto"/>
          <w:spacing w:val="-6"/>
          <w:sz w:val="32"/>
          <w:szCs w:val="32"/>
          <w:highlight w:val="none"/>
        </w:rPr>
      </w:pPr>
    </w:p>
    <w:p>
      <w:pPr>
        <w:adjustRightInd w:val="0"/>
        <w:spacing w:after="156" w:afterLines="50" w:line="360" w:lineRule="auto"/>
        <w:jc w:val="center"/>
        <w:rPr>
          <w:rFonts w:ascii="仿宋" w:hAnsi="仿宋" w:eastAsia="仿宋"/>
          <w:b/>
          <w:color w:val="auto"/>
          <w:spacing w:val="-6"/>
          <w:sz w:val="32"/>
          <w:szCs w:val="32"/>
          <w:highlight w:val="none"/>
        </w:rPr>
      </w:pPr>
    </w:p>
    <w:p>
      <w:pPr>
        <w:adjustRightInd w:val="0"/>
        <w:spacing w:after="156" w:afterLines="50" w:line="360" w:lineRule="auto"/>
        <w:rPr>
          <w:rFonts w:ascii="仿宋_GB2312" w:hAnsi="仿宋_GB2312" w:eastAsia="仿宋_GB2312"/>
          <w:b/>
          <w:color w:val="auto"/>
          <w:spacing w:val="-6"/>
          <w:sz w:val="32"/>
          <w:szCs w:val="32"/>
          <w:highlight w:val="none"/>
        </w:rPr>
      </w:pPr>
    </w:p>
    <w:p>
      <w:pPr>
        <w:pStyle w:val="16"/>
        <w:rPr>
          <w:rFonts w:ascii="仿宋_GB2312" w:hAnsi="仿宋_GB2312" w:eastAsia="仿宋_GB2312"/>
          <w:b/>
          <w:color w:val="auto"/>
          <w:spacing w:val="-6"/>
          <w:sz w:val="32"/>
          <w:szCs w:val="32"/>
          <w:highlight w:val="none"/>
        </w:rPr>
      </w:pPr>
    </w:p>
    <w:p>
      <w:pPr>
        <w:widowControl/>
        <w:spacing w:line="360" w:lineRule="auto"/>
        <w:jc w:val="both"/>
        <w:rPr>
          <w:rFonts w:hint="eastAsia" w:ascii="Arial" w:hAnsi="Arial" w:eastAsia="等线" w:cs="Times New Roman"/>
          <w:b/>
          <w:snapToGrid w:val="0"/>
          <w:color w:val="auto"/>
          <w:sz w:val="36"/>
          <w:szCs w:val="21"/>
          <w:highlight w:val="none"/>
          <w:lang w:val="en-US" w:eastAsia="zh-CN" w:bidi="ar-SA"/>
        </w:rPr>
      </w:pPr>
      <w:bookmarkStart w:id="6" w:name="_Toc16772"/>
    </w:p>
    <w:p>
      <w:pPr>
        <w:widowControl/>
        <w:spacing w:line="360" w:lineRule="auto"/>
        <w:jc w:val="both"/>
        <w:rPr>
          <w:rFonts w:hint="eastAsia" w:ascii="Arial" w:hAnsi="Arial" w:eastAsia="等线" w:cs="Times New Roman"/>
          <w:b/>
          <w:snapToGrid w:val="0"/>
          <w:color w:val="auto"/>
          <w:sz w:val="36"/>
          <w:szCs w:val="21"/>
          <w:highlight w:val="none"/>
          <w:lang w:val="en-US" w:eastAsia="zh-CN" w:bidi="ar-SA"/>
        </w:rPr>
      </w:pPr>
    </w:p>
    <w:p>
      <w:pPr>
        <w:widowControl/>
        <w:spacing w:line="360" w:lineRule="auto"/>
        <w:jc w:val="both"/>
        <w:rPr>
          <w:rFonts w:hint="eastAsia" w:ascii="Arial" w:hAnsi="Arial" w:eastAsia="等线" w:cs="Times New Roman"/>
          <w:b/>
          <w:snapToGrid w:val="0"/>
          <w:color w:val="auto"/>
          <w:sz w:val="36"/>
          <w:szCs w:val="21"/>
          <w:highlight w:val="none"/>
          <w:lang w:val="en-US" w:eastAsia="zh-CN" w:bidi="ar-SA"/>
        </w:rPr>
      </w:pPr>
    </w:p>
    <w:p>
      <w:pPr>
        <w:widowControl/>
        <w:spacing w:line="360" w:lineRule="auto"/>
        <w:jc w:val="both"/>
        <w:rPr>
          <w:rFonts w:hint="eastAsia" w:ascii="Arial" w:hAnsi="Arial" w:eastAsia="等线" w:cs="Times New Roman"/>
          <w:b/>
          <w:snapToGrid w:val="0"/>
          <w:color w:val="auto"/>
          <w:sz w:val="36"/>
          <w:szCs w:val="21"/>
          <w:highlight w:val="none"/>
          <w:lang w:val="en-US" w:eastAsia="zh-CN" w:bidi="ar-SA"/>
        </w:rPr>
      </w:pPr>
    </w:p>
    <w:p>
      <w:pPr>
        <w:widowControl/>
        <w:spacing w:line="360" w:lineRule="auto"/>
        <w:jc w:val="center"/>
        <w:rPr>
          <w:rFonts w:hint="eastAsia" w:ascii="Arial" w:hAnsi="Arial" w:eastAsia="等线" w:cs="Times New Roman"/>
          <w:b/>
          <w:snapToGrid w:val="0"/>
          <w:color w:val="auto"/>
          <w:sz w:val="36"/>
          <w:szCs w:val="21"/>
          <w:highlight w:val="none"/>
          <w:lang w:val="en-US" w:eastAsia="zh-CN" w:bidi="ar-SA"/>
        </w:rPr>
      </w:pPr>
    </w:p>
    <w:p>
      <w:pPr>
        <w:widowControl/>
        <w:spacing w:line="360" w:lineRule="auto"/>
        <w:jc w:val="center"/>
        <w:rPr>
          <w:rFonts w:hint="eastAsia" w:ascii="仿宋_GB2312" w:hAnsi="仿宋" w:eastAsia="仿宋_GB2312" w:cs="宋体"/>
          <w:snapToGrid/>
          <w:color w:val="auto"/>
          <w:spacing w:val="4"/>
          <w:sz w:val="28"/>
          <w:szCs w:val="28"/>
          <w:highlight w:val="none"/>
          <w:lang w:eastAsia="zh-CN"/>
        </w:rPr>
      </w:pPr>
      <w:r>
        <w:rPr>
          <w:rFonts w:hint="eastAsia" w:ascii="Arial" w:hAnsi="Arial" w:eastAsia="等线" w:cs="Times New Roman"/>
          <w:b/>
          <w:snapToGrid w:val="0"/>
          <w:color w:val="auto"/>
          <w:sz w:val="36"/>
          <w:szCs w:val="21"/>
          <w:highlight w:val="none"/>
          <w:lang w:val="en-US" w:eastAsia="zh-CN" w:bidi="ar-SA"/>
        </w:rPr>
        <w:t>一、符合性审查标准资料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b/>
          <w:bCs/>
          <w:snapToGrid/>
          <w:color w:val="auto"/>
          <w:kern w:val="0"/>
          <w:sz w:val="28"/>
          <w:szCs w:val="28"/>
          <w:highlight w:val="none"/>
          <w:u w:val="none"/>
          <w:lang w:val="en-US" w:eastAsia="zh-CN" w:bidi="ar-SA"/>
        </w:rPr>
      </w:pPr>
      <w:r>
        <w:rPr>
          <w:rFonts w:hint="eastAsia" w:ascii="仿宋_GB2312" w:hAnsi="Calibri" w:eastAsia="仿宋_GB2312" w:cs="Calibri"/>
          <w:b/>
          <w:bCs/>
          <w:snapToGrid/>
          <w:color w:val="auto"/>
          <w:kern w:val="0"/>
          <w:sz w:val="28"/>
          <w:szCs w:val="28"/>
          <w:highlight w:val="none"/>
          <w:u w:val="none"/>
          <w:lang w:val="en-US" w:eastAsia="zh-CN" w:bidi="ar-SA"/>
        </w:rPr>
        <w:t>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b w:val="0"/>
          <w:bCs w:val="0"/>
          <w:snapToGrid/>
          <w:color w:val="auto"/>
          <w:kern w:val="0"/>
          <w:sz w:val="28"/>
          <w:szCs w:val="28"/>
          <w:highlight w:val="none"/>
          <w:u w:val="none"/>
          <w:lang w:val="en-US" w:eastAsia="zh-CN" w:bidi="ar-SA"/>
        </w:rPr>
      </w:pPr>
      <w:r>
        <w:rPr>
          <w:rFonts w:hint="eastAsia" w:ascii="仿宋_GB2312" w:hAnsi="Calibri" w:eastAsia="仿宋_GB2312" w:cs="Calibri"/>
          <w:b w:val="0"/>
          <w:bCs w:val="0"/>
          <w:snapToGrid/>
          <w:color w:val="auto"/>
          <w:kern w:val="0"/>
          <w:sz w:val="28"/>
          <w:szCs w:val="28"/>
          <w:highlight w:val="none"/>
          <w:u w:val="none"/>
          <w:lang w:val="en-US" w:eastAsia="zh-CN" w:bidi="ar-SA"/>
        </w:rPr>
        <w:t>（提供营业执照复印件，需盖公章）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Calibri" w:eastAsia="仿宋_GB2312" w:cs="Calibri"/>
          <w:b/>
          <w:bCs/>
          <w:snapToGrid/>
          <w:color w:val="auto"/>
          <w:kern w:val="0"/>
          <w:sz w:val="28"/>
          <w:szCs w:val="28"/>
          <w:highlight w:val="none"/>
          <w:u w:val="none"/>
          <w:lang w:val="en-US" w:eastAsia="zh-CN" w:bidi="ar-SA"/>
        </w:rPr>
      </w:pPr>
      <w:r>
        <w:rPr>
          <w:rFonts w:hint="eastAsia" w:ascii="仿宋_GB2312" w:hAnsi="Calibri" w:eastAsia="仿宋_GB2312" w:cs="Calibri"/>
          <w:b/>
          <w:bCs/>
          <w:snapToGrid/>
          <w:color w:val="auto"/>
          <w:kern w:val="0"/>
          <w:sz w:val="28"/>
          <w:szCs w:val="28"/>
          <w:highlight w:val="none"/>
          <w:u w:val="none"/>
          <w:lang w:val="en-US" w:eastAsia="zh-CN" w:bidi="ar-SA"/>
        </w:rPr>
        <w:t>信用中国查询截图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_GB2312" w:hAnsi="Calibri" w:eastAsia="仿宋_GB2312" w:cs="Calibri"/>
          <w:b w:val="0"/>
          <w:bCs w:val="0"/>
          <w:snapToGrid/>
          <w:color w:val="auto"/>
          <w:kern w:val="0"/>
          <w:sz w:val="28"/>
          <w:szCs w:val="28"/>
          <w:highlight w:val="none"/>
          <w:u w:val="none"/>
          <w:lang w:val="en-US" w:eastAsia="zh-CN" w:bidi="ar-SA"/>
        </w:rPr>
      </w:pPr>
      <w:r>
        <w:rPr>
          <w:rFonts w:hint="eastAsia" w:ascii="仿宋_GB2312" w:hAnsi="Calibri" w:eastAsia="仿宋_GB2312" w:cs="Calibri"/>
          <w:b w:val="0"/>
          <w:bCs w:val="0"/>
          <w:snapToGrid/>
          <w:color w:val="auto"/>
          <w:kern w:val="0"/>
          <w:sz w:val="28"/>
          <w:szCs w:val="28"/>
          <w:highlight w:val="none"/>
          <w:u w:val="none"/>
          <w:lang w:val="en-US" w:eastAsia="zh-CN" w:bidi="ar-SA"/>
        </w:rPr>
        <w:t>（此处提供信用中国截图，要求在“信用中国”网站中未被列入失信被执行人名单、企业经营异常情况名录、重大税收违法案件当事人名单）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b/>
          <w:bCs/>
          <w:snapToGrid/>
          <w:color w:val="auto"/>
          <w:kern w:val="0"/>
          <w:sz w:val="28"/>
          <w:szCs w:val="28"/>
          <w:highlight w:val="none"/>
          <w:u w:val="none"/>
          <w:lang w:val="en-US" w:eastAsia="zh-CN" w:bidi="ar-SA"/>
        </w:rPr>
      </w:pPr>
      <w:r>
        <w:rPr>
          <w:rFonts w:hint="eastAsia" w:ascii="仿宋_GB2312" w:hAnsi="Calibri" w:eastAsia="仿宋_GB2312" w:cs="Calibri"/>
          <w:b/>
          <w:bCs/>
          <w:snapToGrid/>
          <w:color w:val="auto"/>
          <w:kern w:val="0"/>
          <w:sz w:val="28"/>
          <w:szCs w:val="28"/>
          <w:highlight w:val="none"/>
          <w:u w:val="none"/>
          <w:lang w:val="en-US" w:eastAsia="zh-CN" w:bidi="ar-SA"/>
        </w:rPr>
        <w:t>3、法定代表人身份证明</w:t>
      </w:r>
    </w:p>
    <w:p>
      <w:pPr>
        <w:tabs>
          <w:tab w:val="left" w:pos="5565"/>
        </w:tabs>
        <w:autoSpaceDE w:val="0"/>
        <w:autoSpaceDN w:val="0"/>
        <w:adjustRightInd w:val="0"/>
        <w:snapToGrid w:val="0"/>
        <w:spacing w:line="360" w:lineRule="auto"/>
        <w:ind w:firstLine="520" w:firstLineChars="186"/>
        <w:jc w:val="left"/>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竞选人名称：</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ab/>
      </w:r>
    </w:p>
    <w:p>
      <w:pPr>
        <w:tabs>
          <w:tab w:val="left" w:pos="5475"/>
        </w:tabs>
        <w:autoSpaceDE w:val="0"/>
        <w:autoSpaceDN w:val="0"/>
        <w:adjustRightInd w:val="0"/>
        <w:snapToGrid w:val="0"/>
        <w:spacing w:line="360" w:lineRule="auto"/>
        <w:ind w:firstLine="520" w:firstLineChars="186"/>
        <w:jc w:val="left"/>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单位性质：</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ab/>
      </w:r>
    </w:p>
    <w:p>
      <w:pPr>
        <w:tabs>
          <w:tab w:val="left" w:pos="5475"/>
        </w:tabs>
        <w:autoSpaceDE w:val="0"/>
        <w:autoSpaceDN w:val="0"/>
        <w:adjustRightInd w:val="0"/>
        <w:snapToGrid w:val="0"/>
        <w:spacing w:line="360" w:lineRule="auto"/>
        <w:ind w:firstLine="520" w:firstLineChars="186"/>
        <w:jc w:val="left"/>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地址：</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ab/>
      </w:r>
    </w:p>
    <w:p>
      <w:pPr>
        <w:tabs>
          <w:tab w:val="left" w:pos="2520"/>
          <w:tab w:val="left" w:pos="3836"/>
        </w:tabs>
        <w:autoSpaceDE w:val="0"/>
        <w:autoSpaceDN w:val="0"/>
        <w:adjustRightInd w:val="0"/>
        <w:snapToGrid w:val="0"/>
        <w:spacing w:line="360" w:lineRule="auto"/>
        <w:ind w:firstLine="520" w:firstLineChars="186"/>
        <w:jc w:val="left"/>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成立时间：</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single"/>
          <w:lang w:val="en-US" w:eastAsia="zh-CN" w:bidi="ar-SA"/>
        </w:rPr>
        <w:tab/>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年</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single"/>
          <w:lang w:val="en-US" w:eastAsia="zh-CN" w:bidi="ar-SA"/>
        </w:rPr>
        <w:tab/>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月</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日</w:t>
      </w:r>
    </w:p>
    <w:p>
      <w:pPr>
        <w:tabs>
          <w:tab w:val="left" w:pos="5475"/>
        </w:tabs>
        <w:autoSpaceDE w:val="0"/>
        <w:autoSpaceDN w:val="0"/>
        <w:adjustRightInd w:val="0"/>
        <w:snapToGrid w:val="0"/>
        <w:spacing w:line="360" w:lineRule="auto"/>
        <w:ind w:firstLine="520" w:firstLineChars="186"/>
        <w:jc w:val="left"/>
        <w:rPr>
          <w:rFonts w:hint="default" w:ascii="仿宋_GB2312" w:hAnsi="Calibri" w:eastAsia="仿宋_GB2312" w:cs="Calibri"/>
          <w:b w:val="0"/>
          <w:snapToGrid/>
          <w:color w:val="auto"/>
          <w:kern w:val="0"/>
          <w:sz w:val="28"/>
          <w:szCs w:val="28"/>
          <w:highlight w:val="none"/>
          <w:u w:val="singl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经营期限：</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single"/>
          <w:lang w:val="en-US" w:eastAsia="zh-CN" w:bidi="ar-SA"/>
        </w:rPr>
        <w:tab/>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_GB2312" w:hAnsi="Calibri" w:eastAsia="仿宋_GB2312" w:cs="Calibri"/>
          <w:b w:val="0"/>
          <w:snapToGrid/>
          <w:color w:val="auto"/>
          <w:kern w:val="0"/>
          <w:sz w:val="28"/>
          <w:szCs w:val="28"/>
          <w:highlight w:val="none"/>
          <w:u w:val="singl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姓名：</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single"/>
          <w:lang w:val="en-US" w:eastAsia="zh-CN" w:bidi="ar-SA"/>
        </w:rPr>
        <w:tab/>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性别：</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single"/>
          <w:lang w:val="en-US" w:eastAsia="zh-CN" w:bidi="ar-SA"/>
        </w:rPr>
        <w:tab/>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年龄：</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single"/>
          <w:lang w:val="en-US" w:eastAsia="zh-CN" w:bidi="ar-SA"/>
        </w:rPr>
        <w:tab/>
      </w:r>
      <w:r>
        <w:rPr>
          <w:rFonts w:hint="eastAsia" w:ascii="仿宋_GB2312" w:hAnsi="Calibri" w:eastAsia="仿宋_GB2312" w:cs="Calibri"/>
          <w:b w:val="0"/>
          <w:snapToGrid/>
          <w:color w:val="auto"/>
          <w:kern w:val="0"/>
          <w:sz w:val="28"/>
          <w:szCs w:val="28"/>
          <w:highlight w:val="none"/>
          <w:u w:val="none"/>
          <w:lang w:val="en-US" w:eastAsia="zh-CN" w:bidi="ar-SA"/>
        </w:rPr>
        <w:t>职务：</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single"/>
          <w:lang w:val="en-US" w:eastAsia="zh-CN" w:bidi="ar-SA"/>
        </w:rPr>
        <w:tab/>
      </w:r>
    </w:p>
    <w:p>
      <w:pPr>
        <w:tabs>
          <w:tab w:val="left" w:pos="3360"/>
        </w:tabs>
        <w:autoSpaceDE w:val="0"/>
        <w:autoSpaceDN w:val="0"/>
        <w:adjustRightInd w:val="0"/>
        <w:snapToGrid w:val="0"/>
        <w:spacing w:line="360" w:lineRule="auto"/>
        <w:ind w:firstLine="520" w:firstLineChars="186"/>
        <w:jc w:val="left"/>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系</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single"/>
          <w:lang w:val="en-US" w:eastAsia="zh-CN" w:bidi="ar-SA"/>
        </w:rPr>
        <w:tab/>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（竞选人名称）的法定代表人。</w:t>
      </w:r>
    </w:p>
    <w:p>
      <w:pPr>
        <w:autoSpaceDE w:val="0"/>
        <w:autoSpaceDN w:val="0"/>
        <w:adjustRightInd w:val="0"/>
        <w:snapToGrid w:val="0"/>
        <w:spacing w:line="360" w:lineRule="auto"/>
        <w:ind w:firstLine="1080" w:firstLineChars="386"/>
        <w:jc w:val="left"/>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特此证明。</w:t>
      </w:r>
    </w:p>
    <w:p>
      <w:pPr>
        <w:tabs>
          <w:tab w:val="left" w:pos="5460"/>
        </w:tabs>
        <w:autoSpaceDE w:val="0"/>
        <w:autoSpaceDN w:val="0"/>
        <w:adjustRightInd w:val="0"/>
        <w:snapToGrid w:val="0"/>
        <w:spacing w:line="360" w:lineRule="auto"/>
        <w:ind w:firstLine="2100"/>
        <w:jc w:val="left"/>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竞选人：</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single"/>
          <w:lang w:val="en-US" w:eastAsia="zh-CN" w:bidi="ar-SA"/>
        </w:rPr>
        <w:tab/>
      </w:r>
      <w:r>
        <w:rPr>
          <w:rFonts w:hint="eastAsia" w:ascii="仿宋_GB2312" w:hAnsi="Calibri" w:eastAsia="仿宋_GB2312" w:cs="Calibri"/>
          <w:b w:val="0"/>
          <w:snapToGrid/>
          <w:color w:val="auto"/>
          <w:kern w:val="0"/>
          <w:sz w:val="28"/>
          <w:szCs w:val="28"/>
          <w:highlight w:val="none"/>
          <w:u w:val="none"/>
          <w:lang w:val="en-US" w:eastAsia="zh-CN" w:bidi="ar-SA"/>
        </w:rPr>
        <w:t>（盖单位章）</w:t>
      </w:r>
    </w:p>
    <w:p>
      <w:pPr>
        <w:tabs>
          <w:tab w:val="left" w:pos="4935"/>
          <w:tab w:val="left" w:pos="5460"/>
          <w:tab w:val="left" w:pos="6400"/>
        </w:tabs>
        <w:autoSpaceDE w:val="0"/>
        <w:autoSpaceDN w:val="0"/>
        <w:adjustRightInd w:val="0"/>
        <w:snapToGrid w:val="0"/>
        <w:spacing w:line="360" w:lineRule="auto"/>
        <w:ind w:firstLine="3780"/>
        <w:jc w:val="left"/>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ab/>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年</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月</w:t>
      </w:r>
      <w:r>
        <w:rPr>
          <w:rFonts w:hint="eastAsia" w:ascii="仿宋_GB2312" w:hAnsi="Calibri" w:eastAsia="仿宋_GB2312" w:cs="Calibri"/>
          <w:b w:val="0"/>
          <w:snapToGrid/>
          <w:color w:val="auto"/>
          <w:kern w:val="0"/>
          <w:sz w:val="28"/>
          <w:szCs w:val="28"/>
          <w:highlight w:val="none"/>
          <w:u w:val="single"/>
          <w:lang w:val="en-US" w:eastAsia="zh-CN" w:bidi="ar-SA"/>
        </w:rPr>
        <w:t xml:space="preserve">   </w:t>
      </w:r>
      <w:r>
        <w:rPr>
          <w:rFonts w:hint="eastAsia" w:ascii="仿宋_GB2312" w:hAnsi="Calibri" w:eastAsia="仿宋_GB2312" w:cs="Calibri"/>
          <w:b w:val="0"/>
          <w:snapToGrid/>
          <w:color w:val="auto"/>
          <w:kern w:val="0"/>
          <w:sz w:val="28"/>
          <w:szCs w:val="28"/>
          <w:highlight w:val="none"/>
          <w:u w:val="none"/>
          <w:lang w:val="en-US" w:eastAsia="zh-CN" w:bidi="ar-SA"/>
        </w:rPr>
        <w:t>日</w:t>
      </w:r>
    </w:p>
    <w:p>
      <w:pPr>
        <w:autoSpaceDE w:val="0"/>
        <w:autoSpaceDN w:val="0"/>
        <w:adjustRightInd w:val="0"/>
        <w:snapToGrid w:val="0"/>
        <w:spacing w:line="360" w:lineRule="auto"/>
        <w:ind w:firstLine="1080" w:firstLineChars="386"/>
        <w:jc w:val="left"/>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注：法定代表人身份证明需按上述格式填写完整，不可缺少内容。在此基础上增加内容的不影响其有效性。</w:t>
      </w:r>
    </w:p>
    <w:p>
      <w:pPr>
        <w:tabs>
          <w:tab w:val="left" w:pos="142"/>
        </w:tabs>
        <w:spacing w:line="360" w:lineRule="auto"/>
        <w:ind w:firstLine="280" w:firstLineChars="100"/>
        <w:rPr>
          <w:rFonts w:hint="eastAsia" w:ascii="仿宋_GB2312" w:hAnsi="Calibri" w:eastAsia="仿宋_GB2312" w:cs="Calibri"/>
          <w:b w:val="0"/>
          <w:snapToGrid/>
          <w:color w:val="auto"/>
          <w:kern w:val="0"/>
          <w:sz w:val="28"/>
          <w:szCs w:val="28"/>
          <w:highlight w:val="none"/>
          <w:u w:val="none"/>
          <w:lang w:val="en-US" w:eastAsia="zh-CN" w:bidi="ar-SA"/>
        </w:rPr>
      </w:pPr>
      <w:r>
        <w:rPr>
          <w:rFonts w:hint="eastAsia" w:ascii="仿宋_GB2312" w:hAnsi="Calibri" w:eastAsia="仿宋_GB2312" w:cs="Calibri"/>
          <w:b w:val="0"/>
          <w:snapToGrid/>
          <w:color w:val="auto"/>
          <w:kern w:val="0"/>
          <w:sz w:val="28"/>
          <w:szCs w:val="28"/>
          <w:highlight w:val="none"/>
          <w:u w:val="none"/>
          <w:lang w:val="en-US" w:eastAsia="zh-CN" w:bidi="ar-SA"/>
        </w:rPr>
        <w:t xml:space="preserve">此处粘贴法定代表人身份证复印件                 </w:t>
      </w:r>
    </w:p>
    <w:tbl>
      <w:tblPr>
        <w:tblStyle w:val="13"/>
        <w:tblpPr w:leftFromText="180" w:rightFromText="180" w:vertAnchor="text" w:tblpX="349" w:tblpY="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4590" w:type="dxa"/>
            <w:noWrap w:val="0"/>
            <w:vAlign w:val="top"/>
          </w:tcPr>
          <w:p>
            <w:pPr>
              <w:adjustRightInd w:val="0"/>
              <w:snapToGrid w:val="0"/>
              <w:spacing w:line="360" w:lineRule="auto"/>
              <w:ind w:firstLine="280" w:firstLineChars="100"/>
              <w:jc w:val="center"/>
              <w:rPr>
                <w:rFonts w:hint="eastAsia" w:ascii="宋体" w:hAnsi="宋体"/>
                <w:b/>
                <w:sz w:val="28"/>
                <w:szCs w:val="28"/>
              </w:rPr>
            </w:pPr>
            <w:r>
              <w:rPr>
                <w:rFonts w:hint="eastAsia" w:ascii="宋体" w:hAnsi="宋体"/>
                <w:b/>
                <w:sz w:val="28"/>
                <w:szCs w:val="28"/>
              </w:rPr>
              <w:t>法定代表人身份证双面</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kern w:val="0"/>
                <w:szCs w:val="21"/>
              </w:rPr>
            </w:pPr>
            <w:r>
              <w:rPr>
                <w:rFonts w:hint="eastAsia" w:ascii="宋体" w:hAnsi="宋体"/>
                <w:b/>
                <w:sz w:val="28"/>
                <w:szCs w:val="28"/>
              </w:rPr>
              <w:t>复印件或扫描件</w:t>
            </w:r>
          </w:p>
        </w:tc>
      </w:tr>
    </w:tbl>
    <w:p>
      <w:pPr>
        <w:pStyle w:val="3"/>
        <w:jc w:val="center"/>
        <w:rPr>
          <w:rFonts w:hint="eastAsia" w:ascii="仿宋_GB2312" w:hAnsi="Calibri" w:eastAsia="仿宋_GB2312" w:cs="Calibri"/>
          <w:b w:val="0"/>
          <w:snapToGrid/>
          <w:color w:val="auto"/>
          <w:sz w:val="28"/>
          <w:szCs w:val="28"/>
          <w:highlight w:val="none"/>
          <w:u w:val="none"/>
          <w:lang w:val="en-US" w:eastAsia="zh-CN" w:bidi="ar-SA"/>
        </w:rPr>
      </w:pPr>
      <w:r>
        <w:rPr>
          <w:rFonts w:ascii="宋体" w:hAnsi="宋体" w:cs="MingLiU"/>
          <w:b/>
          <w:kern w:val="0"/>
          <w:sz w:val="28"/>
          <w:szCs w:val="28"/>
        </w:rPr>
        <w:br w:type="page"/>
      </w:r>
    </w:p>
    <w:p>
      <w:pPr>
        <w:pStyle w:val="3"/>
        <w:rPr>
          <w:rFonts w:hint="eastAsia"/>
          <w:color w:val="auto"/>
          <w:highlight w:val="none"/>
          <w:lang w:eastAsia="zh-CN"/>
        </w:rPr>
        <w:sectPr>
          <w:footerReference r:id="rId3" w:type="default"/>
          <w:pgSz w:w="11906" w:h="16838"/>
          <w:pgMar w:top="1417" w:right="1417" w:bottom="1417" w:left="1587" w:header="851" w:footer="992" w:gutter="0"/>
          <w:pgNumType w:fmt="decimal" w:start="1"/>
          <w:cols w:space="720" w:num="1"/>
          <w:docGrid w:type="lines" w:linePitch="312" w:charSpace="0"/>
        </w:sectPr>
      </w:pPr>
    </w:p>
    <w:p>
      <w:pPr>
        <w:numPr>
          <w:ilvl w:val="0"/>
          <w:numId w:val="0"/>
        </w:numPr>
        <w:ind w:left="0" w:leftChars="0" w:firstLine="0" w:firstLineChars="0"/>
        <w:jc w:val="center"/>
        <w:rPr>
          <w:rFonts w:hint="eastAsia" w:ascii="仿宋_GB2312" w:hAnsi="Calibri" w:eastAsia="仿宋_GB2312" w:cs="Calibri"/>
          <w:b/>
          <w:bCs/>
          <w:snapToGrid/>
          <w:color w:val="auto"/>
          <w:kern w:val="0"/>
          <w:sz w:val="28"/>
          <w:szCs w:val="28"/>
          <w:highlight w:val="none"/>
          <w:u w:val="none"/>
          <w:lang w:val="en-US" w:eastAsia="zh-CN" w:bidi="ar-SA"/>
        </w:rPr>
      </w:pPr>
      <w:r>
        <w:rPr>
          <w:rFonts w:hint="eastAsia" w:ascii="仿宋_GB2312" w:hAnsi="Calibri" w:eastAsia="仿宋_GB2312" w:cs="Calibri"/>
          <w:b/>
          <w:bCs/>
          <w:snapToGrid/>
          <w:color w:val="auto"/>
          <w:kern w:val="0"/>
          <w:sz w:val="28"/>
          <w:szCs w:val="28"/>
          <w:lang w:val="en-US" w:eastAsia="zh-CN" w:bidi="ar-SA"/>
        </w:rPr>
        <w:t>4、</w:t>
      </w:r>
      <w:r>
        <w:rPr>
          <w:rFonts w:hint="eastAsia" w:ascii="仿宋_GB2312" w:hAnsi="Calibri" w:eastAsia="仿宋_GB2312" w:cs="Calibri"/>
          <w:b/>
          <w:bCs/>
          <w:snapToGrid/>
          <w:color w:val="auto"/>
          <w:kern w:val="0"/>
          <w:sz w:val="28"/>
          <w:szCs w:val="28"/>
          <w:highlight w:val="none"/>
          <w:u w:val="none"/>
          <w:lang w:val="en-US" w:eastAsia="zh-CN" w:bidi="ar-SA"/>
        </w:rPr>
        <w:t>企业业绩</w:t>
      </w:r>
    </w:p>
    <w:tbl>
      <w:tblPr>
        <w:tblStyle w:val="13"/>
        <w:tblW w:w="0" w:type="auto"/>
        <w:jc w:val="center"/>
        <w:tblLayout w:type="fixed"/>
        <w:tblCellMar>
          <w:top w:w="0" w:type="dxa"/>
          <w:left w:w="0" w:type="dxa"/>
          <w:bottom w:w="0" w:type="dxa"/>
          <w:right w:w="0" w:type="dxa"/>
        </w:tblCellMar>
      </w:tblPr>
      <w:tblGrid>
        <w:gridCol w:w="1333"/>
        <w:gridCol w:w="6989"/>
      </w:tblGrid>
      <w:tr>
        <w:tblPrEx>
          <w:tblCellMar>
            <w:top w:w="0" w:type="dxa"/>
            <w:left w:w="0" w:type="dxa"/>
            <w:bottom w:w="0" w:type="dxa"/>
            <w:right w:w="0" w:type="dxa"/>
          </w:tblCellMar>
        </w:tblPrEx>
        <w:trPr>
          <w:trHeight w:val="648"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项目名称</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3"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项目所在地</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70"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发包人名称</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4"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发包人地址</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71"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发包人电话</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6"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合同价格</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59"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开工日期</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84"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竣工日期</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3"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承担的工作</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71"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工程质量</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4"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项目经理</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74"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技术负责人</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869"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总监理工程师及电话</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2742"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0"/>
              </w:rPr>
            </w:pPr>
          </w:p>
          <w:p>
            <w:pPr>
              <w:autoSpaceDE w:val="0"/>
              <w:autoSpaceDN w:val="0"/>
              <w:adjustRightInd w:val="0"/>
              <w:snapToGrid w:val="0"/>
              <w:spacing w:line="360" w:lineRule="auto"/>
              <w:jc w:val="center"/>
              <w:rPr>
                <w:rFonts w:hint="eastAsia" w:ascii="宋体" w:hAnsi="宋体"/>
                <w:kern w:val="0"/>
                <w:sz w:val="20"/>
              </w:rPr>
            </w:pPr>
          </w:p>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项目描述</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59"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备注</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bl>
    <w:p>
      <w:pPr>
        <w:numPr>
          <w:ilvl w:val="0"/>
          <w:numId w:val="0"/>
        </w:numPr>
        <w:ind w:leftChars="0"/>
        <w:jc w:val="both"/>
        <w:rPr>
          <w:rFonts w:hint="default" w:ascii="仿宋_GB2312" w:hAnsi="Calibri" w:eastAsia="仿宋_GB2312" w:cs="Calibri"/>
          <w:b/>
          <w:bCs/>
          <w:snapToGrid/>
          <w:color w:val="auto"/>
          <w:kern w:val="0"/>
          <w:sz w:val="28"/>
          <w:szCs w:val="28"/>
          <w:highlight w:val="none"/>
          <w:u w:val="none"/>
          <w:lang w:val="en-US" w:eastAsia="zh-CN" w:bidi="ar-SA"/>
        </w:rPr>
      </w:pPr>
      <w:r>
        <w:rPr>
          <w:rFonts w:hint="eastAsia" w:ascii="仿宋_GB2312" w:hAnsi="Calibri" w:eastAsia="仿宋_GB2312" w:cs="Calibri"/>
          <w:b w:val="0"/>
          <w:bCs w:val="0"/>
          <w:snapToGrid/>
          <w:color w:val="auto"/>
          <w:kern w:val="0"/>
          <w:sz w:val="28"/>
          <w:szCs w:val="28"/>
          <w:highlight w:val="none"/>
          <w:u w:val="none"/>
          <w:lang w:val="en-US" w:eastAsia="zh-CN" w:bidi="ar-SA"/>
        </w:rPr>
        <w:t>（需提供合同复印件，以合同签订日期为准）</w:t>
      </w:r>
    </w:p>
    <w:p>
      <w:pPr>
        <w:widowControl w:val="0"/>
        <w:numPr>
          <w:ilvl w:val="0"/>
          <w:numId w:val="0"/>
        </w:numPr>
        <w:jc w:val="center"/>
        <w:rPr>
          <w:rFonts w:hint="default" w:ascii="仿宋_GB2312" w:hAnsi="Calibri" w:eastAsia="仿宋_GB2312" w:cs="Calibri"/>
          <w:b/>
          <w:bCs/>
          <w:snapToGrid/>
          <w:color w:val="auto"/>
          <w:kern w:val="0"/>
          <w:sz w:val="28"/>
          <w:szCs w:val="28"/>
          <w:highlight w:val="none"/>
          <w:u w:val="none"/>
          <w:lang w:val="en-US" w:eastAsia="zh-CN" w:bidi="ar-SA"/>
        </w:rPr>
        <w:sectPr>
          <w:pgSz w:w="11906" w:h="16838"/>
          <w:pgMar w:top="1417" w:right="1417" w:bottom="1417" w:left="1587" w:header="851" w:footer="992" w:gutter="0"/>
          <w:pgNumType w:fmt="decimal"/>
          <w:cols w:space="720" w:num="1"/>
          <w:docGrid w:type="lines" w:linePitch="312" w:charSpace="0"/>
        </w:sectPr>
      </w:pPr>
    </w:p>
    <w:p>
      <w:pPr>
        <w:pStyle w:val="3"/>
        <w:rPr>
          <w:color w:val="auto"/>
          <w:highlight w:val="none"/>
        </w:rPr>
      </w:pPr>
      <w:r>
        <w:rPr>
          <w:rFonts w:hint="eastAsia"/>
          <w:color w:val="auto"/>
          <w:highlight w:val="none"/>
          <w:lang w:eastAsia="zh-CN"/>
        </w:rPr>
        <w:t>二、</w:t>
      </w:r>
      <w:r>
        <w:rPr>
          <w:rFonts w:hint="eastAsia"/>
          <w:color w:val="auto"/>
          <w:highlight w:val="none"/>
        </w:rPr>
        <w:t>比选申请函</w:t>
      </w:r>
      <w:bookmarkEnd w:id="6"/>
    </w:p>
    <w:p>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致：</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（比选人名称）</w:t>
      </w:r>
      <w:r>
        <w:rPr>
          <w:rFonts w:hint="eastAsia" w:ascii="仿宋_GB2312" w:hAnsi="Calibri" w:eastAsia="仿宋_GB2312" w:cs="Calibri"/>
          <w:snapToGrid/>
          <w:color w:val="auto"/>
          <w:sz w:val="28"/>
          <w:szCs w:val="28"/>
          <w:highlight w:val="none"/>
          <w:u w:val="single"/>
        </w:rPr>
        <w:t>           </w:t>
      </w:r>
    </w:p>
    <w:p>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１．我方已仔细阅读研究了</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（项目名称）比选文件，自愿参加</w:t>
      </w:r>
      <w:r>
        <w:rPr>
          <w:rFonts w:hint="eastAsia" w:ascii="仿宋_GB2312" w:hAnsi="仿宋" w:eastAsia="仿宋_GB2312" w:cs="宋体"/>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rPr>
        <w:t>的比选申请。</w:t>
      </w:r>
    </w:p>
    <w:p>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２．我方已认真核对和检查了本比选申请文件，全部内容均真实、准确，我方对此负完全责任，并愿意承担由此引起的法律责任。</w:t>
      </w:r>
    </w:p>
    <w:p>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３．我方完全理解，无论中选与否，你方均不负担我方因参加比选申请活动而发生的任何费用。</w:t>
      </w:r>
    </w:p>
    <w:p>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４．如我方中选：</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我方将严格按照本比选申请文件的承诺，完成相关项目的服务工作。</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比选申请人：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（盖单位章）</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法定代表人或其委托代理人：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（签字或盖章）</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地址：</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网址：</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电话：</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传真：</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Calibri" w:eastAsia="仿宋_GB2312" w:cs="Calibri"/>
          <w:snapToGrid/>
          <w:color w:val="auto"/>
          <w:sz w:val="28"/>
          <w:szCs w:val="28"/>
          <w:highlight w:val="none"/>
        </w:rPr>
        <w:t> </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邮政编码：</w:t>
      </w:r>
      <w:r>
        <w:rPr>
          <w:rFonts w:hint="eastAsia" w:ascii="仿宋_GB2312" w:hAnsi="仿宋" w:eastAsia="仿宋_GB2312" w:cs="宋体"/>
          <w:snapToGrid/>
          <w:color w:val="auto"/>
          <w:sz w:val="28"/>
          <w:szCs w:val="28"/>
          <w:highlight w:val="none"/>
          <w:u w:val="single"/>
        </w:rPr>
        <w:t>　　　　　　　　　　　  　　　　　　　　　　</w:t>
      </w:r>
    </w:p>
    <w:p>
      <w:pPr>
        <w:widowControl/>
        <w:spacing w:line="360" w:lineRule="auto"/>
        <w:ind w:firstLine="560"/>
        <w:jc w:val="righ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　　　　　　　</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年</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月</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日</w:t>
      </w:r>
    </w:p>
    <w:p>
      <w:pPr>
        <w:pStyle w:val="3"/>
        <w:numPr>
          <w:ilvl w:val="0"/>
          <w:numId w:val="0"/>
        </w:numPr>
        <w:ind w:leftChars="0"/>
        <w:jc w:val="both"/>
        <w:rPr>
          <w:rFonts w:hint="eastAsia"/>
          <w:color w:val="auto"/>
          <w:highlight w:val="none"/>
          <w:lang w:eastAsia="zh-CN"/>
        </w:rPr>
      </w:pPr>
      <w:bookmarkStart w:id="7" w:name="_Toc11432"/>
    </w:p>
    <w:p>
      <w:pPr>
        <w:rPr>
          <w:rFonts w:hint="eastAsia"/>
          <w:color w:val="auto"/>
          <w:highlight w:val="none"/>
          <w:lang w:eastAsia="zh-CN"/>
        </w:rPr>
      </w:pPr>
    </w:p>
    <w:p>
      <w:pPr>
        <w:rPr>
          <w:rFonts w:hint="eastAsia"/>
          <w:color w:val="auto"/>
          <w:highlight w:val="none"/>
          <w:lang w:eastAsia="zh-CN"/>
        </w:rPr>
      </w:pPr>
    </w:p>
    <w:p>
      <w:pPr>
        <w:pStyle w:val="3"/>
        <w:numPr>
          <w:ilvl w:val="0"/>
          <w:numId w:val="0"/>
        </w:numPr>
        <w:ind w:leftChars="0"/>
        <w:jc w:val="center"/>
        <w:rPr>
          <w:rFonts w:hint="eastAsia"/>
        </w:rPr>
      </w:pPr>
      <w:r>
        <w:rPr>
          <w:rFonts w:hint="eastAsia"/>
          <w:color w:val="auto"/>
          <w:highlight w:val="none"/>
          <w:lang w:eastAsia="zh-CN"/>
        </w:rPr>
        <w:t>三、</w:t>
      </w:r>
      <w:r>
        <w:rPr>
          <w:rFonts w:hint="eastAsia"/>
          <w:color w:val="auto"/>
          <w:highlight w:val="none"/>
        </w:rPr>
        <w:t>报价文件</w:t>
      </w:r>
    </w:p>
    <w:p>
      <w:pPr>
        <w:spacing w:line="360" w:lineRule="auto"/>
        <w:ind w:firstLine="536" w:firstLineChars="200"/>
        <w:jc w:val="left"/>
        <w:rPr>
          <w:rFonts w:hint="default"/>
          <w:lang w:val="en-US" w:eastAsia="zh-CN"/>
        </w:rPr>
      </w:pPr>
      <w:r>
        <w:rPr>
          <w:rFonts w:hint="eastAsia" w:ascii="仿宋_GB2312" w:hAnsi="仿宋" w:eastAsia="仿宋_GB2312"/>
          <w:color w:val="auto"/>
          <w:spacing w:val="-6"/>
          <w:sz w:val="28"/>
          <w:szCs w:val="28"/>
          <w:highlight w:val="none"/>
          <w:lang w:val="en-US" w:eastAsia="zh-CN"/>
        </w:rPr>
        <w:t>格式自拟，报价文件应提供包含但不限于人工费、材料费、机械费、企业管理费、利润、风险费用、措施费、规费、税金、政策性文件规定的所有费用，评比时将以比选申请人总价作为评比价格。</w:t>
      </w:r>
    </w:p>
    <w:p>
      <w:pPr>
        <w:pStyle w:val="3"/>
        <w:jc w:val="center"/>
        <w:rPr>
          <w:color w:val="auto"/>
          <w:highlight w:val="none"/>
        </w:rPr>
      </w:pPr>
      <w:r>
        <w:rPr>
          <w:rFonts w:hint="eastAsia"/>
          <w:color w:val="auto"/>
          <w:highlight w:val="none"/>
          <w:lang w:eastAsia="zh-CN"/>
        </w:rPr>
        <w:t>四</w:t>
      </w:r>
      <w:r>
        <w:rPr>
          <w:rFonts w:hint="eastAsia"/>
          <w:color w:val="auto"/>
          <w:highlight w:val="none"/>
        </w:rPr>
        <w:t>、类似业绩</w:t>
      </w:r>
      <w:bookmarkEnd w:id="7"/>
    </w:p>
    <w:p>
      <w:pPr>
        <w:spacing w:line="360" w:lineRule="auto"/>
        <w:jc w:val="center"/>
        <w:rPr>
          <w:rFonts w:ascii="仿宋_GB2312" w:hAnsi="仿宋" w:eastAsia="仿宋_GB2312"/>
          <w:color w:val="auto"/>
          <w:spacing w:val="-6"/>
          <w:sz w:val="24"/>
          <w:szCs w:val="24"/>
          <w:highlight w:val="none"/>
        </w:rPr>
      </w:pPr>
      <w:r>
        <w:rPr>
          <w:rFonts w:hint="eastAsia" w:ascii="仿宋" w:hAnsi="仿宋" w:eastAsia="仿宋"/>
          <w:color w:val="auto"/>
          <w:spacing w:val="-6"/>
          <w:sz w:val="28"/>
          <w:szCs w:val="28"/>
          <w:highlight w:val="none"/>
        </w:rPr>
        <w:t>（</w:t>
      </w:r>
      <w:r>
        <w:rPr>
          <w:rFonts w:hint="eastAsia" w:ascii="仿宋_GB2312" w:hAnsi="仿宋" w:eastAsia="仿宋_GB2312"/>
          <w:color w:val="auto"/>
          <w:spacing w:val="-6"/>
          <w:sz w:val="24"/>
          <w:szCs w:val="24"/>
          <w:highlight w:val="none"/>
        </w:rPr>
        <w:t>20</w:t>
      </w:r>
      <w:r>
        <w:rPr>
          <w:rFonts w:hint="eastAsia" w:ascii="仿宋_GB2312" w:hAnsi="仿宋" w:eastAsia="仿宋_GB2312"/>
          <w:color w:val="auto"/>
          <w:spacing w:val="-6"/>
          <w:sz w:val="24"/>
          <w:szCs w:val="24"/>
          <w:highlight w:val="none"/>
          <w:lang w:val="en-US" w:eastAsia="zh-CN"/>
        </w:rPr>
        <w:t>19</w:t>
      </w:r>
      <w:r>
        <w:rPr>
          <w:rFonts w:hint="eastAsia" w:ascii="仿宋_GB2312" w:hAnsi="仿宋" w:eastAsia="仿宋_GB2312"/>
          <w:color w:val="auto"/>
          <w:spacing w:val="-6"/>
          <w:sz w:val="24"/>
          <w:szCs w:val="24"/>
          <w:highlight w:val="none"/>
        </w:rPr>
        <w:t>年</w:t>
      </w:r>
      <w:r>
        <w:rPr>
          <w:rFonts w:hint="eastAsia" w:ascii="仿宋_GB2312" w:hAnsi="仿宋" w:eastAsia="仿宋_GB2312"/>
          <w:color w:val="auto"/>
          <w:spacing w:val="-6"/>
          <w:sz w:val="24"/>
          <w:szCs w:val="24"/>
          <w:highlight w:val="none"/>
          <w:lang w:val="en-US" w:eastAsia="zh-CN"/>
        </w:rPr>
        <w:t>5</w:t>
      </w:r>
      <w:r>
        <w:rPr>
          <w:rFonts w:hint="eastAsia" w:ascii="仿宋_GB2312" w:hAnsi="仿宋" w:eastAsia="仿宋_GB2312"/>
          <w:color w:val="auto"/>
          <w:spacing w:val="-6"/>
          <w:sz w:val="24"/>
          <w:szCs w:val="24"/>
          <w:highlight w:val="none"/>
        </w:rPr>
        <w:t>月1日至今）</w:t>
      </w:r>
    </w:p>
    <w:tbl>
      <w:tblPr>
        <w:tblStyle w:val="13"/>
        <w:tblW w:w="0" w:type="auto"/>
        <w:jc w:val="center"/>
        <w:tblLayout w:type="fixed"/>
        <w:tblCellMar>
          <w:top w:w="0" w:type="dxa"/>
          <w:left w:w="0" w:type="dxa"/>
          <w:bottom w:w="0" w:type="dxa"/>
          <w:right w:w="0" w:type="dxa"/>
        </w:tblCellMar>
      </w:tblPr>
      <w:tblGrid>
        <w:gridCol w:w="1333"/>
        <w:gridCol w:w="6989"/>
      </w:tblGrid>
      <w:tr>
        <w:tblPrEx>
          <w:tblCellMar>
            <w:top w:w="0" w:type="dxa"/>
            <w:left w:w="0" w:type="dxa"/>
            <w:bottom w:w="0" w:type="dxa"/>
            <w:right w:w="0" w:type="dxa"/>
          </w:tblCellMar>
        </w:tblPrEx>
        <w:trPr>
          <w:trHeight w:val="648"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项目名称</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3"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项目所在地</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70"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发包人名称</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4"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发包人地址</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71"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发包人电话</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6"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合同价格</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59"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开工日期</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84"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竣工日期</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3"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承担的工作</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71"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工程质量</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64"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项目经理</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74"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技术负责人</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869"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总监理工程师及电话</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2742"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0"/>
              </w:rPr>
            </w:pPr>
          </w:p>
          <w:p>
            <w:pPr>
              <w:autoSpaceDE w:val="0"/>
              <w:autoSpaceDN w:val="0"/>
              <w:adjustRightInd w:val="0"/>
              <w:snapToGrid w:val="0"/>
              <w:spacing w:line="360" w:lineRule="auto"/>
              <w:jc w:val="center"/>
              <w:rPr>
                <w:rFonts w:hint="eastAsia" w:ascii="宋体" w:hAnsi="宋体"/>
                <w:kern w:val="0"/>
                <w:sz w:val="20"/>
              </w:rPr>
            </w:pPr>
          </w:p>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项目描述</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r>
        <w:tblPrEx>
          <w:tblCellMar>
            <w:top w:w="0" w:type="dxa"/>
            <w:left w:w="0" w:type="dxa"/>
            <w:bottom w:w="0" w:type="dxa"/>
            <w:right w:w="0" w:type="dxa"/>
          </w:tblCellMar>
        </w:tblPrEx>
        <w:trPr>
          <w:trHeight w:val="659" w:hRule="exact"/>
          <w:jc w:val="center"/>
        </w:trPr>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r>
              <w:rPr>
                <w:rFonts w:hint="eastAsia" w:ascii="宋体" w:hAnsi="宋体" w:cs="MingLiU"/>
                <w:kern w:val="0"/>
                <w:szCs w:val="21"/>
              </w:rPr>
              <w:t>备注</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kern w:val="0"/>
                <w:sz w:val="24"/>
              </w:rPr>
            </w:pPr>
          </w:p>
        </w:tc>
      </w:tr>
    </w:tbl>
    <w:p>
      <w:pPr>
        <w:spacing w:line="360" w:lineRule="auto"/>
        <w:jc w:val="center"/>
        <w:rPr>
          <w:rFonts w:ascii="仿宋_GB2312" w:hAnsi="仿宋" w:eastAsia="仿宋_GB2312"/>
          <w:color w:val="auto"/>
          <w:spacing w:val="-6"/>
          <w:sz w:val="24"/>
          <w:szCs w:val="24"/>
          <w:highlight w:val="none"/>
        </w:rPr>
      </w:pPr>
    </w:p>
    <w:p>
      <w:pPr>
        <w:spacing w:line="360" w:lineRule="auto"/>
        <w:rPr>
          <w:rFonts w:hint="eastAsia" w:ascii="仿宋_GB2312" w:hAnsi="仿宋" w:eastAsia="仿宋_GB2312"/>
          <w:color w:val="auto"/>
          <w:spacing w:val="-6"/>
          <w:sz w:val="28"/>
          <w:szCs w:val="28"/>
          <w:highlight w:val="none"/>
          <w:lang w:eastAsia="zh-CN"/>
        </w:rPr>
      </w:pPr>
      <w:r>
        <w:rPr>
          <w:rFonts w:hint="eastAsia" w:ascii="仿宋_GB2312" w:hAnsi="仿宋" w:eastAsia="仿宋_GB2312"/>
          <w:color w:val="auto"/>
          <w:spacing w:val="-6"/>
          <w:sz w:val="28"/>
          <w:szCs w:val="28"/>
          <w:highlight w:val="none"/>
        </w:rPr>
        <w:t>注：①比选申请人只需填写规定时限内的业绩；超出规定时限的，比选人不予考虑。</w:t>
      </w:r>
      <w:r>
        <w:rPr>
          <w:rFonts w:hint="eastAsia" w:ascii="仿宋_GB2312" w:hAnsi="仿宋" w:eastAsia="仿宋_GB2312"/>
          <w:color w:val="auto"/>
          <w:spacing w:val="-6"/>
          <w:sz w:val="28"/>
          <w:szCs w:val="28"/>
          <w:highlight w:val="none"/>
          <w:lang w:eastAsia="zh-CN"/>
        </w:rPr>
        <w:t>②类似业绩需提供合同复印页，以合同签订日期作为验证标准。</w:t>
      </w:r>
    </w:p>
    <w:p>
      <w:pPr>
        <w:pStyle w:val="3"/>
        <w:numPr>
          <w:ilvl w:val="0"/>
          <w:numId w:val="3"/>
        </w:numPr>
        <w:jc w:val="center"/>
        <w:rPr>
          <w:rFonts w:hint="eastAsia"/>
          <w:color w:val="auto"/>
          <w:highlight w:val="none"/>
          <w:lang w:val="en-US" w:eastAsia="zh-CN"/>
        </w:rPr>
      </w:pPr>
      <w:r>
        <w:rPr>
          <w:rFonts w:hint="eastAsia"/>
          <w:color w:val="auto"/>
          <w:highlight w:val="none"/>
          <w:lang w:eastAsia="zh-CN"/>
        </w:rPr>
        <w:t>售后</w:t>
      </w:r>
      <w:r>
        <w:rPr>
          <w:rFonts w:hint="eastAsia"/>
          <w:color w:val="auto"/>
          <w:highlight w:val="none"/>
          <w:lang w:val="en-US" w:eastAsia="zh-CN"/>
        </w:rPr>
        <w:t>服务承诺</w:t>
      </w:r>
    </w:p>
    <w:p>
      <w:pPr>
        <w:pStyle w:val="3"/>
        <w:numPr>
          <w:ilvl w:val="0"/>
          <w:numId w:val="0"/>
        </w:numPr>
        <w:jc w:val="center"/>
        <w:rPr>
          <w:rFonts w:hint="eastAsia"/>
          <w:b w:val="0"/>
          <w:bCs/>
          <w:color w:val="auto"/>
          <w:highlight w:val="none"/>
          <w:lang w:val="en-US" w:eastAsia="zh-CN"/>
        </w:rPr>
      </w:pPr>
      <w:r>
        <w:rPr>
          <w:rFonts w:hint="eastAsia" w:ascii="仿宋_GB2312" w:hAnsi="仿宋" w:eastAsia="仿宋_GB2312" w:cs="宋体"/>
          <w:b w:val="0"/>
          <w:bCs/>
          <w:snapToGrid/>
          <w:color w:val="auto"/>
          <w:spacing w:val="4"/>
          <w:sz w:val="28"/>
          <w:szCs w:val="28"/>
          <w:highlight w:val="none"/>
          <w:lang w:val="en-US" w:eastAsia="zh-CN"/>
        </w:rPr>
        <w:t>（提交内容格式自拟）</w:t>
      </w:r>
    </w:p>
    <w:p>
      <w:pPr>
        <w:pStyle w:val="3"/>
        <w:numPr>
          <w:ilvl w:val="0"/>
          <w:numId w:val="4"/>
        </w:numPr>
        <w:jc w:val="center"/>
        <w:rPr>
          <w:rFonts w:hint="eastAsia"/>
          <w:color w:val="auto"/>
          <w:highlight w:val="none"/>
          <w:lang w:val="en-US" w:eastAsia="zh-CN"/>
        </w:rPr>
      </w:pPr>
      <w:r>
        <w:rPr>
          <w:rFonts w:hint="eastAsia"/>
          <w:color w:val="auto"/>
          <w:highlight w:val="none"/>
          <w:lang w:val="en-US" w:eastAsia="zh-CN"/>
        </w:rPr>
        <w:t>质量保证措施</w:t>
      </w:r>
    </w:p>
    <w:p>
      <w:pPr>
        <w:pStyle w:val="3"/>
        <w:numPr>
          <w:ilvl w:val="0"/>
          <w:numId w:val="4"/>
        </w:numPr>
        <w:ind w:left="0" w:leftChars="0" w:firstLine="0" w:firstLineChars="0"/>
        <w:jc w:val="center"/>
        <w:rPr>
          <w:rFonts w:hint="eastAsia"/>
        </w:rPr>
      </w:pPr>
      <w:r>
        <w:rPr>
          <w:rFonts w:hint="eastAsia"/>
          <w:color w:val="auto"/>
          <w:highlight w:val="none"/>
          <w:lang w:val="en-US" w:eastAsia="zh-CN"/>
        </w:rPr>
        <w:t>关键系统技术解决方案</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Arial" w:hAnsi="Arial" w:eastAsia="等线" w:cs="Times New Roman"/>
          <w:b/>
          <w:snapToGrid w:val="0"/>
          <w:color w:val="auto"/>
          <w:sz w:val="36"/>
          <w:szCs w:val="21"/>
          <w:highlight w:val="none"/>
          <w:lang w:val="en-US" w:eastAsia="zh-CN" w:bidi="ar-SA"/>
        </w:rPr>
      </w:pPr>
      <w:r>
        <w:rPr>
          <w:rFonts w:hint="eastAsia" w:ascii="Arial" w:hAnsi="Arial" w:cs="Times New Roman"/>
          <w:b/>
          <w:snapToGrid w:val="0"/>
          <w:color w:val="auto"/>
          <w:sz w:val="36"/>
          <w:szCs w:val="21"/>
          <w:highlight w:val="none"/>
          <w:lang w:val="en-US" w:eastAsia="zh-CN" w:bidi="ar-SA"/>
        </w:rPr>
        <w:t>八</w:t>
      </w:r>
      <w:r>
        <w:rPr>
          <w:rFonts w:hint="eastAsia" w:ascii="Arial" w:hAnsi="Arial" w:eastAsia="等线" w:cs="Times New Roman"/>
          <w:b/>
          <w:snapToGrid w:val="0"/>
          <w:color w:val="auto"/>
          <w:sz w:val="36"/>
          <w:szCs w:val="21"/>
          <w:highlight w:val="none"/>
          <w:lang w:val="en-US" w:eastAsia="zh-CN" w:bidi="ar-SA"/>
        </w:rPr>
        <w:t>、实施方案</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val="en-US" w:eastAsia="zh-CN"/>
        </w:rPr>
        <w:t>1、</w:t>
      </w:r>
      <w:r>
        <w:rPr>
          <w:rFonts w:hint="eastAsia" w:ascii="仿宋_GB2312" w:hAnsi="仿宋_GB2312" w:eastAsia="仿宋_GB2312" w:cs="仿宋_GB2312"/>
          <w:b w:val="0"/>
          <w:bCs/>
          <w:kern w:val="0"/>
          <w:sz w:val="28"/>
          <w:szCs w:val="28"/>
        </w:rPr>
        <w:t>项目管理机构组成表</w:t>
      </w:r>
    </w:p>
    <w:tbl>
      <w:tblPr>
        <w:tblStyle w:val="13"/>
        <w:tblpPr w:leftFromText="180" w:rightFromText="180" w:vertAnchor="text" w:horzAnchor="page" w:tblpXSpec="center" w:tblpY="586"/>
        <w:tblOverlap w:val="never"/>
        <w:tblW w:w="10206" w:type="dxa"/>
        <w:jc w:val="center"/>
        <w:tblLayout w:type="fixed"/>
        <w:tblCellMar>
          <w:top w:w="0" w:type="dxa"/>
          <w:left w:w="0" w:type="dxa"/>
          <w:bottom w:w="0" w:type="dxa"/>
          <w:right w:w="0" w:type="dxa"/>
        </w:tblCellMar>
      </w:tblPr>
      <w:tblGrid>
        <w:gridCol w:w="1701"/>
        <w:gridCol w:w="1701"/>
        <w:gridCol w:w="1701"/>
        <w:gridCol w:w="1701"/>
        <w:gridCol w:w="1701"/>
        <w:gridCol w:w="1701"/>
      </w:tblGrid>
      <w:tr>
        <w:tblPrEx>
          <w:tblCellMar>
            <w:top w:w="0" w:type="dxa"/>
            <w:left w:w="0" w:type="dxa"/>
            <w:bottom w:w="0" w:type="dxa"/>
            <w:right w:w="0" w:type="dxa"/>
          </w:tblCellMar>
        </w:tblPrEx>
        <w:trPr>
          <w:cantSplit/>
          <w:trHeight w:val="838" w:hRule="atLeast"/>
          <w:jc w:val="center"/>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姓名</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职务</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职责</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从业经验</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备注</w:t>
            </w:r>
          </w:p>
        </w:tc>
      </w:tr>
      <w:tr>
        <w:tblPrEx>
          <w:tblCellMar>
            <w:top w:w="0" w:type="dxa"/>
            <w:left w:w="0" w:type="dxa"/>
            <w:bottom w:w="0" w:type="dxa"/>
            <w:right w:w="0" w:type="dxa"/>
          </w:tblCellMar>
        </w:tblPrEx>
        <w:trPr>
          <w:trHeight w:val="1134" w:hRule="atLeast"/>
          <w:jc w:val="center"/>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r>
    </w:tbl>
    <w:p>
      <w:pPr>
        <w:jc w:val="center"/>
        <w:rPr>
          <w:rFonts w:hint="eastAsia" w:ascii="仿宋_GB2312" w:hAnsi="仿宋_GB2312" w:eastAsia="仿宋_GB2312" w:cs="仿宋_GB2312"/>
          <w:b w:val="0"/>
          <w:bCs/>
          <w:sz w:val="28"/>
          <w:szCs w:val="28"/>
        </w:rPr>
      </w:pPr>
      <w:bookmarkStart w:id="8" w:name="_Toc287607887"/>
      <w:bookmarkStart w:id="9" w:name="_Toc277082659"/>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rPr>
        <w:t>主要人员简历表</w:t>
      </w:r>
      <w:bookmarkEnd w:id="8"/>
      <w:bookmarkEnd w:id="9"/>
    </w:p>
    <w:tbl>
      <w:tblPr>
        <w:tblStyle w:val="13"/>
        <w:tblW w:w="0" w:type="auto"/>
        <w:jc w:val="center"/>
        <w:tblLayout w:type="fixed"/>
        <w:tblCellMar>
          <w:top w:w="0" w:type="dxa"/>
          <w:left w:w="0" w:type="dxa"/>
          <w:bottom w:w="0" w:type="dxa"/>
          <w:right w:w="0" w:type="dxa"/>
        </w:tblCellMar>
      </w:tblPr>
      <w:tblGrid>
        <w:gridCol w:w="1197"/>
        <w:gridCol w:w="363"/>
        <w:gridCol w:w="727"/>
        <w:gridCol w:w="934"/>
        <w:gridCol w:w="1076"/>
        <w:gridCol w:w="714"/>
        <w:gridCol w:w="1272"/>
        <w:gridCol w:w="164"/>
        <w:gridCol w:w="2155"/>
      </w:tblGrid>
      <w:tr>
        <w:tblPrEx>
          <w:tblCellMar>
            <w:top w:w="0" w:type="dxa"/>
            <w:left w:w="0" w:type="dxa"/>
            <w:bottom w:w="0" w:type="dxa"/>
            <w:right w:w="0" w:type="dxa"/>
          </w:tblCellMar>
        </w:tblPrEx>
        <w:trPr>
          <w:trHeight w:val="470" w:hRule="exact"/>
          <w:jc w:val="center"/>
        </w:trPr>
        <w:tc>
          <w:tcPr>
            <w:tcW w:w="1197" w:type="dxa"/>
            <w:tcBorders>
              <w:top w:val="single" w:color="000000" w:sz="4" w:space="0"/>
              <w:left w:val="single" w:color="000000" w:sz="4" w:space="0"/>
              <w:bottom w:val="single" w:color="000000" w:sz="4" w:space="0"/>
              <w:right w:val="single" w:color="000000" w:sz="4" w:space="0"/>
            </w:tcBorders>
            <w:noWrap w:val="0"/>
            <w:vAlign w:val="center"/>
          </w:tcPr>
          <w:p>
            <w:pPr>
              <w:tabs>
                <w:tab w:val="left" w:pos="520"/>
              </w:tabs>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名</w:t>
            </w:r>
          </w:p>
        </w:tc>
        <w:tc>
          <w:tcPr>
            <w:tcW w:w="109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龄</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215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470" w:hRule="exact"/>
          <w:jc w:val="center"/>
        </w:trPr>
        <w:tc>
          <w:tcPr>
            <w:tcW w:w="1197" w:type="dxa"/>
            <w:tcBorders>
              <w:top w:val="single" w:color="000000" w:sz="4" w:space="0"/>
              <w:left w:val="single" w:color="000000" w:sz="4" w:space="0"/>
              <w:bottom w:val="single" w:color="000000" w:sz="4" w:space="0"/>
              <w:right w:val="single" w:color="000000" w:sz="4" w:space="0"/>
            </w:tcBorders>
            <w:noWrap w:val="0"/>
            <w:vAlign w:val="center"/>
          </w:tcPr>
          <w:p>
            <w:pPr>
              <w:tabs>
                <w:tab w:val="left" w:pos="520"/>
              </w:tabs>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称</w:t>
            </w:r>
          </w:p>
        </w:tc>
        <w:tc>
          <w:tcPr>
            <w:tcW w:w="109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  务</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215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拟在本合同任职</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470" w:hRule="exact"/>
          <w:jc w:val="center"/>
        </w:trPr>
        <w:tc>
          <w:tcPr>
            <w:tcW w:w="11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毕业学校</w:t>
            </w:r>
          </w:p>
        </w:tc>
        <w:tc>
          <w:tcPr>
            <w:tcW w:w="7405" w:type="dxa"/>
            <w:gridSpan w:val="8"/>
            <w:tcBorders>
              <w:top w:val="single" w:color="000000" w:sz="4" w:space="0"/>
              <w:left w:val="single" w:color="000000" w:sz="4" w:space="0"/>
              <w:bottom w:val="single" w:color="000000" w:sz="4" w:space="0"/>
              <w:right w:val="single" w:color="000000" w:sz="4" w:space="0"/>
            </w:tcBorders>
            <w:noWrap w:val="0"/>
            <w:vAlign w:val="center"/>
          </w:tcPr>
          <w:p>
            <w:pPr>
              <w:tabs>
                <w:tab w:val="left" w:pos="2820"/>
                <w:tab w:val="left" w:pos="4080"/>
              </w:tabs>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w:t>
            </w:r>
            <w:r>
              <w:rPr>
                <w:rFonts w:hint="eastAsia" w:ascii="仿宋_GB2312" w:hAnsi="仿宋_GB2312" w:eastAsia="仿宋_GB2312" w:cs="仿宋_GB2312"/>
                <w:spacing w:val="-1"/>
                <w:kern w:val="0"/>
                <w:sz w:val="24"/>
                <w:szCs w:val="24"/>
              </w:rPr>
              <w:t>毕</w:t>
            </w:r>
            <w:r>
              <w:rPr>
                <w:rFonts w:hint="eastAsia" w:ascii="仿宋_GB2312" w:hAnsi="仿宋_GB2312" w:eastAsia="仿宋_GB2312" w:cs="仿宋_GB2312"/>
                <w:kern w:val="0"/>
                <w:sz w:val="24"/>
                <w:szCs w:val="24"/>
              </w:rPr>
              <w:t>业于</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学校</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专业</w:t>
            </w:r>
          </w:p>
        </w:tc>
      </w:tr>
      <w:tr>
        <w:tblPrEx>
          <w:tblCellMar>
            <w:top w:w="0" w:type="dxa"/>
            <w:left w:w="0" w:type="dxa"/>
            <w:bottom w:w="0" w:type="dxa"/>
            <w:right w:w="0" w:type="dxa"/>
          </w:tblCellMar>
        </w:tblPrEx>
        <w:trPr>
          <w:trHeight w:val="470" w:hRule="exact"/>
          <w:jc w:val="center"/>
        </w:trPr>
        <w:tc>
          <w:tcPr>
            <w:tcW w:w="860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主要工作经历</w:t>
            </w:r>
          </w:p>
        </w:tc>
      </w:tr>
      <w:tr>
        <w:tblPrEx>
          <w:tblCellMar>
            <w:top w:w="0" w:type="dxa"/>
            <w:left w:w="0" w:type="dxa"/>
            <w:bottom w:w="0" w:type="dxa"/>
            <w:right w:w="0" w:type="dxa"/>
          </w:tblCellMar>
        </w:tblPrEx>
        <w:trPr>
          <w:trHeight w:val="470" w:hRule="exact"/>
          <w:jc w:val="center"/>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520"/>
              </w:tabs>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间</w:t>
            </w:r>
          </w:p>
        </w:tc>
        <w:tc>
          <w:tcPr>
            <w:tcW w:w="345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参加过的类似项目</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担任职务</w:t>
            </w:r>
          </w:p>
        </w:tc>
        <w:tc>
          <w:tcPr>
            <w:tcW w:w="231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发包人及联系电话</w:t>
            </w:r>
          </w:p>
        </w:tc>
      </w:tr>
      <w:tr>
        <w:tblPrEx>
          <w:tblCellMar>
            <w:top w:w="0" w:type="dxa"/>
            <w:left w:w="0" w:type="dxa"/>
            <w:bottom w:w="0" w:type="dxa"/>
            <w:right w:w="0" w:type="dxa"/>
          </w:tblCellMar>
        </w:tblPrEx>
        <w:trPr>
          <w:trHeight w:val="732" w:hRule="exact"/>
          <w:jc w:val="center"/>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345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231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731" w:hRule="exact"/>
          <w:jc w:val="center"/>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345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c>
          <w:tcPr>
            <w:tcW w:w="231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仿宋_GB2312" w:hAnsi="仿宋_GB2312" w:eastAsia="仿宋_GB2312" w:cs="仿宋_GB2312"/>
                <w:kern w:val="0"/>
                <w:sz w:val="24"/>
                <w:szCs w:val="24"/>
              </w:rPr>
            </w:pPr>
          </w:p>
        </w:tc>
      </w:tr>
    </w:tbl>
    <w:p>
      <w:pPr>
        <w:pStyle w:val="3"/>
        <w:numPr>
          <w:ilvl w:val="0"/>
          <w:numId w:val="0"/>
        </w:numPr>
        <w:ind w:leftChars="0"/>
        <w:jc w:val="center"/>
        <w:rPr>
          <w:rFonts w:hint="eastAsia"/>
          <w:lang w:val="en-US" w:eastAsia="zh-CN"/>
        </w:rPr>
      </w:pPr>
      <w:r>
        <w:rPr>
          <w:rFonts w:hint="eastAsia" w:ascii="仿宋_GB2312" w:hAnsi="仿宋_GB2312" w:eastAsia="仿宋_GB2312" w:cs="仿宋_GB2312"/>
          <w:b w:val="0"/>
          <w:bCs/>
          <w:sz w:val="28"/>
          <w:szCs w:val="28"/>
          <w:lang w:val="en-US" w:eastAsia="zh-CN"/>
        </w:rPr>
        <w:t>3、施工方案、实施计划安排、各阶段工作划分与衔接、任务设计和方案等自行编辑</w:t>
      </w:r>
    </w:p>
    <w:p>
      <w:pPr>
        <w:pStyle w:val="3"/>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lang w:eastAsia="zh-CN"/>
        </w:rPr>
      </w:pPr>
      <w:r>
        <w:rPr>
          <w:rFonts w:hint="eastAsia"/>
          <w:lang w:eastAsia="zh-CN"/>
        </w:rPr>
        <w:t>九、</w:t>
      </w:r>
      <w:r>
        <w:rPr>
          <w:rFonts w:hint="eastAsia"/>
          <w:lang w:val="en-US" w:eastAsia="zh-CN"/>
        </w:rPr>
        <w:t>信号灯产品</w:t>
      </w:r>
    </w:p>
    <w:p>
      <w:pPr>
        <w:pStyle w:val="3"/>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rPr>
      </w:pPr>
      <w:r>
        <w:rPr>
          <w:rFonts w:hint="eastAsia"/>
          <w:lang w:eastAsia="zh-CN"/>
        </w:rPr>
        <w:t>十、</w:t>
      </w:r>
      <w:r>
        <w:rPr>
          <w:rFonts w:hint="eastAsia"/>
        </w:rPr>
        <w:t>比选申请人认为需要提交的其他资料</w:t>
      </w:r>
    </w:p>
    <w:p>
      <w:pPr>
        <w:pStyle w:val="3"/>
        <w:numPr>
          <w:ilvl w:val="0"/>
          <w:numId w:val="0"/>
        </w:numPr>
        <w:ind w:leftChars="0"/>
        <w:jc w:val="both"/>
        <w:rPr>
          <w:rFonts w:hint="eastAsia"/>
        </w:rPr>
      </w:pPr>
    </w:p>
    <w:p>
      <w:pPr>
        <w:pStyle w:val="3"/>
        <w:numPr>
          <w:ilvl w:val="0"/>
          <w:numId w:val="0"/>
        </w:numPr>
        <w:ind w:leftChars="0"/>
        <w:jc w:val="center"/>
        <w:rPr>
          <w:rFonts w:hint="eastAsia"/>
        </w:rPr>
      </w:pPr>
    </w:p>
    <w:p>
      <w:pPr>
        <w:spacing w:line="360" w:lineRule="auto"/>
        <w:ind w:firstLine="536" w:firstLineChars="200"/>
        <w:rPr>
          <w:rFonts w:hint="eastAsia" w:ascii="仿宋_GB2312" w:hAnsi="仿宋" w:eastAsia="仿宋_GB2312"/>
          <w:color w:val="auto"/>
          <w:spacing w:val="-6"/>
          <w:sz w:val="28"/>
          <w:szCs w:val="28"/>
          <w:highlight w:val="none"/>
        </w:rPr>
      </w:pPr>
    </w:p>
    <w:sectPr>
      <w:pgSz w:w="11906" w:h="16838"/>
      <w:pgMar w:top="1417" w:right="1417"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4EF25"/>
    <w:multiLevelType w:val="singleLevel"/>
    <w:tmpl w:val="A974EF25"/>
    <w:lvl w:ilvl="0" w:tentative="0">
      <w:start w:val="2"/>
      <w:numFmt w:val="decimal"/>
      <w:suff w:val="nothing"/>
      <w:lvlText w:val="（%1）"/>
      <w:lvlJc w:val="left"/>
    </w:lvl>
  </w:abstractNum>
  <w:abstractNum w:abstractNumId="1">
    <w:nsid w:val="AAEABC1D"/>
    <w:multiLevelType w:val="singleLevel"/>
    <w:tmpl w:val="AAEABC1D"/>
    <w:lvl w:ilvl="0" w:tentative="0">
      <w:start w:val="6"/>
      <w:numFmt w:val="chineseCounting"/>
      <w:suff w:val="nothing"/>
      <w:lvlText w:val="%1、"/>
      <w:lvlJc w:val="left"/>
      <w:rPr>
        <w:rFonts w:hint="eastAsia"/>
      </w:rPr>
    </w:lvl>
  </w:abstractNum>
  <w:abstractNum w:abstractNumId="2">
    <w:nsid w:val="BE7EA120"/>
    <w:multiLevelType w:val="singleLevel"/>
    <w:tmpl w:val="BE7EA120"/>
    <w:lvl w:ilvl="0" w:tentative="0">
      <w:start w:val="5"/>
      <w:numFmt w:val="chineseCounting"/>
      <w:suff w:val="nothing"/>
      <w:lvlText w:val="%1、"/>
      <w:lvlJc w:val="left"/>
      <w:rPr>
        <w:rFonts w:hint="eastAsia"/>
      </w:rPr>
    </w:lvl>
  </w:abstractNum>
  <w:abstractNum w:abstractNumId="3">
    <w:nsid w:val="2499E4D1"/>
    <w:multiLevelType w:val="singleLevel"/>
    <w:tmpl w:val="2499E4D1"/>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Tg1MjIzODZhZDJkNTgzZGE1NTlkYmE4MTQ5YTAifQ=="/>
  </w:docVars>
  <w:rsids>
    <w:rsidRoot w:val="77F42A7A"/>
    <w:rsid w:val="021809CB"/>
    <w:rsid w:val="025E1E28"/>
    <w:rsid w:val="0320683B"/>
    <w:rsid w:val="05E527EE"/>
    <w:rsid w:val="0615273C"/>
    <w:rsid w:val="10491F6A"/>
    <w:rsid w:val="15554D7E"/>
    <w:rsid w:val="16DD2149"/>
    <w:rsid w:val="17AC1CA0"/>
    <w:rsid w:val="1DA74525"/>
    <w:rsid w:val="1EB01CDB"/>
    <w:rsid w:val="239502F5"/>
    <w:rsid w:val="27EC14A5"/>
    <w:rsid w:val="294D2BB7"/>
    <w:rsid w:val="2A7A2BE3"/>
    <w:rsid w:val="2FA64CBD"/>
    <w:rsid w:val="2FCC2B64"/>
    <w:rsid w:val="321001BF"/>
    <w:rsid w:val="37AB665A"/>
    <w:rsid w:val="3C4849AD"/>
    <w:rsid w:val="3CC82828"/>
    <w:rsid w:val="3FFF7FA0"/>
    <w:rsid w:val="47351B1A"/>
    <w:rsid w:val="49884B08"/>
    <w:rsid w:val="4CCC1F22"/>
    <w:rsid w:val="4D674B59"/>
    <w:rsid w:val="4ECD29FB"/>
    <w:rsid w:val="50111FC1"/>
    <w:rsid w:val="54F01865"/>
    <w:rsid w:val="598C0E38"/>
    <w:rsid w:val="5B090550"/>
    <w:rsid w:val="5C0276AD"/>
    <w:rsid w:val="620602A1"/>
    <w:rsid w:val="62D54BF9"/>
    <w:rsid w:val="64E244CB"/>
    <w:rsid w:val="66114115"/>
    <w:rsid w:val="67162ABA"/>
    <w:rsid w:val="6739114C"/>
    <w:rsid w:val="68D30E9D"/>
    <w:rsid w:val="696C158E"/>
    <w:rsid w:val="6A8D4892"/>
    <w:rsid w:val="6C6617AF"/>
    <w:rsid w:val="6F2D4BEE"/>
    <w:rsid w:val="6F9426BD"/>
    <w:rsid w:val="6FB566B6"/>
    <w:rsid w:val="72167855"/>
    <w:rsid w:val="72D96092"/>
    <w:rsid w:val="738E46F2"/>
    <w:rsid w:val="74077C14"/>
    <w:rsid w:val="74D17414"/>
    <w:rsid w:val="77B140D1"/>
    <w:rsid w:val="77F42A7A"/>
    <w:rsid w:val="7A1D08C3"/>
    <w:rsid w:val="7ADC6EA6"/>
    <w:rsid w:val="7DAB7EAA"/>
    <w:rsid w:val="7EB36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等线" w:cs="Times New Roman"/>
      <w:snapToGrid w:val="0"/>
      <w:sz w:val="21"/>
      <w:szCs w:val="21"/>
      <w:lang w:val="en-US" w:eastAsia="zh-CN" w:bidi="ar-SA"/>
    </w:rPr>
  </w:style>
  <w:style w:type="paragraph" w:styleId="2">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36"/>
    </w:rPr>
  </w:style>
  <w:style w:type="paragraph" w:styleId="3">
    <w:name w:val="heading 2"/>
    <w:basedOn w:val="1"/>
    <w:next w:val="1"/>
    <w:autoRedefine/>
    <w:qFormat/>
    <w:uiPriority w:val="0"/>
    <w:pPr>
      <w:keepNext/>
      <w:keepLines/>
      <w:spacing w:beforeLines="0" w:beforeAutospacing="0" w:afterLines="0" w:afterAutospacing="0" w:line="360" w:lineRule="auto"/>
      <w:jc w:val="center"/>
      <w:outlineLvl w:val="1"/>
    </w:pPr>
    <w:rPr>
      <w:rFonts w:ascii="Arial" w:hAnsi="Arial"/>
      <w:b/>
      <w:sz w:val="36"/>
    </w:rPr>
  </w:style>
  <w:style w:type="paragraph" w:styleId="4">
    <w:name w:val="heading 3"/>
    <w:basedOn w:val="1"/>
    <w:next w:val="1"/>
    <w:autoRedefine/>
    <w:qFormat/>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99"/>
    <w:pPr>
      <w:ind w:left="536"/>
    </w:pPr>
    <w:rPr>
      <w:rFonts w:ascii="宋体" w:hAnsi="宋体" w:eastAsia="宋体"/>
      <w:sz w:val="20"/>
      <w:szCs w:val="20"/>
    </w:rPr>
  </w:style>
  <w:style w:type="paragraph" w:styleId="7">
    <w:name w:val="Body Text 2"/>
    <w:basedOn w:val="1"/>
    <w:autoRedefine/>
    <w:qFormat/>
    <w:uiPriority w:val="99"/>
    <w:rPr>
      <w:rFonts w:ascii="宋体"/>
      <w:sz w:val="28"/>
    </w:rPr>
  </w:style>
  <w:style w:type="paragraph" w:styleId="8">
    <w:name w:val="Body Text Indent"/>
    <w:basedOn w:val="1"/>
    <w:autoRedefine/>
    <w:qFormat/>
    <w:uiPriority w:val="0"/>
    <w:pPr>
      <w:ind w:firstLine="560" w:firstLineChars="200"/>
    </w:pPr>
    <w:rPr>
      <w:sz w:val="2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snapToGrid/>
      <w:sz w:val="24"/>
      <w:szCs w:val="24"/>
    </w:rPr>
  </w:style>
  <w:style w:type="paragraph" w:styleId="12">
    <w:name w:val="Body Text First Indent 2"/>
    <w:basedOn w:val="8"/>
    <w:autoRedefine/>
    <w:qFormat/>
    <w:uiPriority w:val="0"/>
    <w:pPr>
      <w:spacing w:after="120"/>
      <w:ind w:left="420" w:leftChars="200" w:firstLine="420"/>
    </w:pPr>
    <w:rPr>
      <w:sz w:val="21"/>
    </w:rPr>
  </w:style>
  <w:style w:type="character" w:styleId="15">
    <w:name w:val="page number"/>
    <w:basedOn w:val="14"/>
    <w:autoRedefine/>
    <w:qFormat/>
    <w:uiPriority w:val="0"/>
  </w:style>
  <w:style w:type="paragraph" w:customStyle="1" w:styleId="16">
    <w:name w:val="Default"/>
    <w:autoRedefine/>
    <w:qFormat/>
    <w:uiPriority w:val="99"/>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customStyle="1" w:styleId="17">
    <w:name w:val="列出段落1"/>
    <w:basedOn w:val="1"/>
    <w:autoRedefine/>
    <w:qFormat/>
    <w:uiPriority w:val="34"/>
    <w:pPr>
      <w:ind w:firstLine="420" w:firstLineChars="200"/>
    </w:pPr>
    <w:rPr>
      <w:rFonts w:eastAsia="宋体"/>
      <w:snapToGrid/>
      <w:kern w:val="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3997</Words>
  <Characters>4501</Characters>
  <Lines>0</Lines>
  <Paragraphs>0</Paragraphs>
  <TotalTime>9</TotalTime>
  <ScaleCrop>false</ScaleCrop>
  <LinksUpToDate>false</LinksUpToDate>
  <CharactersWithSpaces>5018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2023-01-03T07:52:00Z</dcterms:created>
  <dc:creator>Mr  yang</dc:creator>
  <cp:lastModifiedBy>俊喆爸</cp:lastModifiedBy>
  <cp:lastPrinted>2024-04-02T05:41:00Z</cp:lastPrinted>
  <dcterms:modified xsi:type="dcterms:W3CDTF">2024-04-30T00:54:17Z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D5B29319D71B4D628DE4BFD9CD1CDE72_13</vt:lpwstr>
  </property>
</Properties>
</file>