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F5C263"/>
    <w:p w14:paraId="0C2F24F0"/>
    <w:p w14:paraId="07A8BDEB"/>
    <w:p w14:paraId="6F8A92B8">
      <w:pPr>
        <w:jc w:val="center"/>
        <w:rPr>
          <w:b/>
          <w:bCs/>
          <w:w w:val="95"/>
          <w:sz w:val="36"/>
          <w:szCs w:val="36"/>
          <w:lang w:eastAsia="zh-CN"/>
        </w:rPr>
      </w:pPr>
      <w:r>
        <w:rPr>
          <w:b/>
          <w:bCs/>
          <w:spacing w:val="3"/>
          <w:w w:val="95"/>
          <w:sz w:val="36"/>
          <w:szCs w:val="36"/>
          <w:lang w:eastAsia="zh-CN"/>
        </w:rPr>
        <w:t>黄骅港综合港区</w:t>
      </w:r>
      <w:r>
        <w:rPr>
          <w:b/>
          <w:bCs/>
          <w:w w:val="95"/>
          <w:sz w:val="36"/>
          <w:szCs w:val="36"/>
          <w:lang w:eastAsia="zh-CN"/>
        </w:rPr>
        <w:t>9</w:t>
      </w:r>
      <w:r>
        <w:rPr>
          <w:b/>
          <w:bCs/>
          <w:spacing w:val="11"/>
          <w:w w:val="95"/>
          <w:sz w:val="36"/>
          <w:szCs w:val="36"/>
          <w:lang w:eastAsia="zh-CN"/>
        </w:rPr>
        <w:t>号</w:t>
      </w:r>
      <w:r>
        <w:rPr>
          <w:b/>
          <w:bCs/>
          <w:w w:val="95"/>
          <w:sz w:val="36"/>
          <w:szCs w:val="36"/>
          <w:lang w:eastAsia="zh-CN"/>
        </w:rPr>
        <w:t>10号通用泊位工程</w:t>
      </w:r>
    </w:p>
    <w:p w14:paraId="322B9F72">
      <w:pPr>
        <w:jc w:val="center"/>
        <w:rPr>
          <w:b/>
          <w:bCs/>
          <w:sz w:val="36"/>
          <w:szCs w:val="36"/>
          <w:lang w:eastAsia="zh-CN"/>
        </w:rPr>
      </w:pPr>
      <w:r>
        <w:rPr>
          <w:rFonts w:hint="eastAsia"/>
          <w:b/>
          <w:bCs/>
          <w:sz w:val="36"/>
          <w:szCs w:val="36"/>
          <w:lang w:val="en-US" w:eastAsia="zh-CN"/>
        </w:rPr>
        <w:t>桩基</w:t>
      </w:r>
      <w:r>
        <w:rPr>
          <w:rFonts w:hint="eastAsia"/>
          <w:b/>
          <w:bCs/>
          <w:sz w:val="36"/>
          <w:szCs w:val="36"/>
          <w:lang w:eastAsia="zh-CN"/>
        </w:rPr>
        <w:t>检测（水工结构部分）</w:t>
      </w:r>
    </w:p>
    <w:p w14:paraId="4E90A2F8">
      <w:pPr>
        <w:rPr>
          <w:lang w:eastAsia="zh-CN"/>
        </w:rPr>
      </w:pPr>
    </w:p>
    <w:p w14:paraId="1DC8D3AC">
      <w:pPr>
        <w:rPr>
          <w:lang w:eastAsia="zh-CN"/>
        </w:rPr>
      </w:pPr>
    </w:p>
    <w:p w14:paraId="3C6D1D37">
      <w:pPr>
        <w:rPr>
          <w:lang w:eastAsia="zh-CN"/>
        </w:rPr>
      </w:pPr>
    </w:p>
    <w:p w14:paraId="41069581">
      <w:pPr>
        <w:rPr>
          <w:lang w:eastAsia="zh-CN"/>
        </w:rPr>
      </w:pPr>
    </w:p>
    <w:p w14:paraId="34A25D7D">
      <w:pPr>
        <w:rPr>
          <w:lang w:eastAsia="zh-CN"/>
        </w:rPr>
      </w:pPr>
    </w:p>
    <w:p w14:paraId="53E96644">
      <w:pPr>
        <w:rPr>
          <w:lang w:eastAsia="zh-CN"/>
        </w:rPr>
      </w:pPr>
    </w:p>
    <w:p w14:paraId="3C052116">
      <w:pPr>
        <w:rPr>
          <w:lang w:eastAsia="zh-CN"/>
        </w:rPr>
      </w:pPr>
    </w:p>
    <w:p w14:paraId="2BD30F6D">
      <w:pPr>
        <w:jc w:val="center"/>
        <w:rPr>
          <w:b/>
          <w:bCs/>
          <w:sz w:val="72"/>
          <w:szCs w:val="72"/>
          <w:lang w:eastAsia="zh-CN"/>
        </w:rPr>
      </w:pPr>
      <w:r>
        <w:rPr>
          <w:rFonts w:hint="eastAsia"/>
          <w:b/>
          <w:bCs/>
          <w:sz w:val="72"/>
          <w:szCs w:val="72"/>
          <w:lang w:eastAsia="zh-CN"/>
        </w:rPr>
        <w:t>比 选 文 件</w:t>
      </w:r>
    </w:p>
    <w:p w14:paraId="5B03988B">
      <w:pPr>
        <w:jc w:val="center"/>
        <w:rPr>
          <w:b/>
          <w:bCs/>
          <w:sz w:val="72"/>
          <w:szCs w:val="72"/>
          <w:lang w:eastAsia="zh-CN"/>
        </w:rPr>
      </w:pPr>
    </w:p>
    <w:p w14:paraId="3400056E">
      <w:pPr>
        <w:jc w:val="center"/>
        <w:rPr>
          <w:b/>
          <w:bCs/>
          <w:sz w:val="72"/>
          <w:szCs w:val="72"/>
          <w:lang w:eastAsia="zh-CN"/>
        </w:rPr>
      </w:pPr>
    </w:p>
    <w:p w14:paraId="7FDD2D3D">
      <w:pPr>
        <w:jc w:val="center"/>
        <w:rPr>
          <w:b/>
          <w:bCs/>
          <w:sz w:val="72"/>
          <w:szCs w:val="72"/>
          <w:lang w:eastAsia="zh-CN"/>
        </w:rPr>
      </w:pPr>
    </w:p>
    <w:p w14:paraId="631D8D05">
      <w:pPr>
        <w:jc w:val="center"/>
        <w:rPr>
          <w:b/>
          <w:bCs/>
          <w:sz w:val="72"/>
          <w:szCs w:val="72"/>
          <w:lang w:eastAsia="zh-CN"/>
        </w:rPr>
      </w:pPr>
    </w:p>
    <w:p w14:paraId="7FB7EF6D">
      <w:pPr>
        <w:jc w:val="center"/>
        <w:rPr>
          <w:b/>
          <w:bCs/>
          <w:sz w:val="72"/>
          <w:szCs w:val="72"/>
          <w:lang w:eastAsia="zh-CN"/>
        </w:rPr>
      </w:pPr>
    </w:p>
    <w:p w14:paraId="4E69170B">
      <w:pPr>
        <w:jc w:val="center"/>
        <w:rPr>
          <w:b/>
          <w:bCs/>
          <w:sz w:val="72"/>
          <w:szCs w:val="72"/>
          <w:lang w:eastAsia="zh-CN"/>
        </w:rPr>
      </w:pPr>
    </w:p>
    <w:p w14:paraId="30A5D0F2">
      <w:pPr>
        <w:jc w:val="center"/>
        <w:rPr>
          <w:b/>
          <w:bCs/>
          <w:sz w:val="36"/>
          <w:szCs w:val="36"/>
          <w:lang w:eastAsia="zh-CN"/>
        </w:rPr>
      </w:pPr>
      <w:r>
        <w:rPr>
          <w:rFonts w:hint="eastAsia"/>
          <w:b/>
          <w:bCs/>
          <w:sz w:val="36"/>
          <w:szCs w:val="36"/>
          <w:lang w:eastAsia="zh-CN"/>
        </w:rPr>
        <w:t>比选人：沧州港务集团有限公司</w:t>
      </w:r>
    </w:p>
    <w:p w14:paraId="644DA67C">
      <w:pPr>
        <w:jc w:val="center"/>
        <w:rPr>
          <w:b/>
          <w:bCs/>
          <w:sz w:val="36"/>
          <w:szCs w:val="36"/>
          <w:lang w:eastAsia="zh-CN"/>
        </w:rPr>
      </w:pPr>
      <w:r>
        <w:rPr>
          <w:rFonts w:hint="eastAsia"/>
          <w:b/>
          <w:bCs/>
          <w:sz w:val="36"/>
          <w:szCs w:val="36"/>
          <w:lang w:eastAsia="zh-CN"/>
        </w:rPr>
        <w:t>二零二四年</w:t>
      </w:r>
      <w:r>
        <w:rPr>
          <w:rFonts w:hint="eastAsia"/>
          <w:b/>
          <w:bCs/>
          <w:sz w:val="36"/>
          <w:szCs w:val="36"/>
          <w:lang w:val="en-US" w:eastAsia="zh-CN"/>
        </w:rPr>
        <w:t>九</w:t>
      </w:r>
      <w:r>
        <w:rPr>
          <w:rFonts w:hint="eastAsia"/>
          <w:b/>
          <w:bCs/>
          <w:sz w:val="36"/>
          <w:szCs w:val="36"/>
          <w:lang w:eastAsia="zh-CN"/>
        </w:rPr>
        <w:t>月</w:t>
      </w:r>
    </w:p>
    <w:p w14:paraId="11F8C355">
      <w:pPr>
        <w:rPr>
          <w:b/>
          <w:bCs/>
          <w:sz w:val="36"/>
          <w:szCs w:val="36"/>
          <w:lang w:eastAsia="zh-CN"/>
        </w:rPr>
      </w:pPr>
      <w:r>
        <w:rPr>
          <w:rFonts w:hint="eastAsia"/>
          <w:b/>
          <w:bCs/>
          <w:sz w:val="36"/>
          <w:szCs w:val="36"/>
          <w:lang w:eastAsia="zh-CN"/>
        </w:rPr>
        <w:br w:type="page"/>
      </w:r>
    </w:p>
    <w:p w14:paraId="0F6A5705">
      <w:pPr>
        <w:pStyle w:val="2"/>
        <w:jc w:val="center"/>
      </w:pPr>
    </w:p>
    <w:p w14:paraId="7D9904B3">
      <w:pPr>
        <w:jc w:val="center"/>
        <w:rPr>
          <w:b/>
          <w:bCs/>
          <w:w w:val="95"/>
          <w:sz w:val="36"/>
          <w:szCs w:val="36"/>
          <w:lang w:eastAsia="zh-CN"/>
        </w:rPr>
      </w:pPr>
      <w:r>
        <w:rPr>
          <w:b/>
          <w:bCs/>
          <w:spacing w:val="3"/>
          <w:w w:val="95"/>
          <w:sz w:val="36"/>
          <w:szCs w:val="36"/>
          <w:lang w:eastAsia="zh-CN"/>
        </w:rPr>
        <w:t>黄骅港综合港区</w:t>
      </w:r>
      <w:r>
        <w:rPr>
          <w:b/>
          <w:bCs/>
          <w:w w:val="95"/>
          <w:sz w:val="36"/>
          <w:szCs w:val="36"/>
          <w:lang w:eastAsia="zh-CN"/>
        </w:rPr>
        <w:t>9</w:t>
      </w:r>
      <w:r>
        <w:rPr>
          <w:b/>
          <w:bCs/>
          <w:spacing w:val="11"/>
          <w:w w:val="95"/>
          <w:sz w:val="36"/>
          <w:szCs w:val="36"/>
          <w:lang w:eastAsia="zh-CN"/>
        </w:rPr>
        <w:t>号</w:t>
      </w:r>
      <w:r>
        <w:rPr>
          <w:b/>
          <w:bCs/>
          <w:w w:val="95"/>
          <w:sz w:val="36"/>
          <w:szCs w:val="36"/>
          <w:lang w:eastAsia="zh-CN"/>
        </w:rPr>
        <w:t>10号通用泊位工程</w:t>
      </w:r>
    </w:p>
    <w:p w14:paraId="72563578">
      <w:pPr>
        <w:jc w:val="center"/>
        <w:rPr>
          <w:b/>
          <w:bCs/>
          <w:sz w:val="36"/>
          <w:szCs w:val="36"/>
          <w:lang w:eastAsia="zh-CN"/>
        </w:rPr>
      </w:pPr>
      <w:r>
        <w:rPr>
          <w:rFonts w:hint="eastAsia"/>
          <w:b/>
          <w:bCs/>
          <w:sz w:val="36"/>
          <w:szCs w:val="36"/>
          <w:lang w:eastAsia="zh-CN"/>
        </w:rPr>
        <w:t>桩基检测（水工结构部分）</w:t>
      </w:r>
    </w:p>
    <w:p w14:paraId="704E32E7">
      <w:pPr>
        <w:jc w:val="center"/>
        <w:rPr>
          <w:b/>
          <w:bCs/>
          <w:sz w:val="36"/>
          <w:lang w:eastAsia="zh-CN"/>
        </w:rPr>
      </w:pPr>
      <w:r>
        <w:rPr>
          <w:rFonts w:hint="eastAsia"/>
          <w:b/>
          <w:bCs/>
          <w:sz w:val="36"/>
          <w:lang w:eastAsia="zh-CN"/>
        </w:rPr>
        <w:t>比选公告</w:t>
      </w:r>
    </w:p>
    <w:p w14:paraId="0303C0EE">
      <w:pPr>
        <w:jc w:val="center"/>
        <w:rPr>
          <w:b/>
          <w:bCs/>
          <w:sz w:val="36"/>
          <w:lang w:eastAsia="zh-CN"/>
        </w:rPr>
      </w:pPr>
    </w:p>
    <w:p w14:paraId="420D2B6D">
      <w:pPr>
        <w:spacing w:line="360" w:lineRule="auto"/>
        <w:ind w:firstLine="560" w:firstLineChars="200"/>
        <w:rPr>
          <w:rFonts w:ascii="仿宋_GB2312" w:hAnsi="仿宋_GB2312" w:eastAsia="仿宋_GB2312"/>
          <w:sz w:val="28"/>
          <w:lang w:eastAsia="zh-CN"/>
        </w:rPr>
      </w:pPr>
      <w:r>
        <w:rPr>
          <w:rFonts w:hint="eastAsia" w:ascii="仿宋_GB2312" w:hAnsi="仿宋_GB2312" w:eastAsia="仿宋_GB2312"/>
          <w:sz w:val="28"/>
          <w:u w:val="single"/>
          <w:lang w:eastAsia="zh-CN"/>
        </w:rPr>
        <w:t>沧州港务集团有限公司</w:t>
      </w:r>
      <w:r>
        <w:rPr>
          <w:rFonts w:hint="eastAsia" w:ascii="仿宋_GB2312" w:hAnsi="仿宋_GB2312" w:eastAsia="仿宋_GB2312"/>
          <w:sz w:val="28"/>
          <w:lang w:eastAsia="zh-CN"/>
        </w:rPr>
        <w:t>作为比选人，对符合资格条件的检测单位进行公开比选，为黄骅港综合港区9号10号通用泊位工程桩基检测项目提供相关服务。</w:t>
      </w:r>
    </w:p>
    <w:p w14:paraId="0E47BA96">
      <w:pPr>
        <w:pStyle w:val="3"/>
        <w:ind w:left="1235" w:leftChars="0" w:firstLineChars="0"/>
      </w:pPr>
      <w:r>
        <w:rPr>
          <w:rFonts w:hint="eastAsia"/>
        </w:rPr>
        <w:t>项目概况：</w:t>
      </w:r>
    </w:p>
    <w:p w14:paraId="70CDC9A2">
      <w:pPr>
        <w:spacing w:line="360" w:lineRule="auto"/>
        <w:ind w:firstLine="560" w:firstLineChars="200"/>
        <w:rPr>
          <w:rFonts w:ascii="仿宋_GB2312" w:hAnsi="仿宋_GB2312" w:eastAsia="仿宋_GB2312"/>
          <w:sz w:val="28"/>
        </w:rPr>
      </w:pPr>
      <w:r>
        <w:rPr>
          <w:rFonts w:hint="eastAsia" w:ascii="仿宋_GB2312" w:hAnsi="仿宋_GB2312" w:eastAsia="仿宋_GB2312"/>
          <w:sz w:val="28"/>
          <w:lang w:eastAsia="zh-CN"/>
        </w:rPr>
        <w:t>650x650mm方桩高应变检测64根、650x650mm方桩低应变检测121根、700x700mm方桩高应变检测69根、700x700mm方桩低应变检测78根、1000mm灌注桩高应变检测3根、1000mm灌注桩低应变检测60根、1000mm灌注桩钻心检测4根。</w:t>
      </w:r>
      <w:r>
        <w:rPr>
          <w:rFonts w:hint="eastAsia" w:ascii="仿宋_GB2312" w:hAnsi="仿宋_GB2312" w:eastAsia="仿宋_GB2312"/>
          <w:sz w:val="28"/>
        </w:rPr>
        <w:t>具体</w:t>
      </w:r>
      <w:r>
        <w:rPr>
          <w:rFonts w:hint="eastAsia" w:ascii="仿宋_GB2312" w:hAnsi="仿宋_GB2312" w:eastAsia="仿宋_GB2312"/>
          <w:sz w:val="28"/>
          <w:lang w:eastAsia="zh-CN"/>
        </w:rPr>
        <w:t>详见</w:t>
      </w:r>
      <w:r>
        <w:rPr>
          <w:rFonts w:hint="eastAsia" w:ascii="仿宋_GB2312" w:hAnsi="仿宋_GB2312" w:eastAsia="仿宋_GB2312"/>
          <w:sz w:val="28"/>
        </w:rPr>
        <w:t>检测要求。</w:t>
      </w:r>
    </w:p>
    <w:p w14:paraId="21BD2E16">
      <w:pPr>
        <w:pStyle w:val="3"/>
        <w:ind w:left="1235" w:leftChars="0" w:firstLineChars="0"/>
      </w:pPr>
      <w:r>
        <w:rPr>
          <w:rFonts w:hint="eastAsia"/>
        </w:rPr>
        <w:t>比选内容</w:t>
      </w:r>
    </w:p>
    <w:p w14:paraId="719DBA8F">
      <w:pPr>
        <w:spacing w:line="360" w:lineRule="auto"/>
        <w:ind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确定本工程的码头桩基检测单位。</w:t>
      </w:r>
    </w:p>
    <w:p w14:paraId="4B0B0579">
      <w:pPr>
        <w:pStyle w:val="3"/>
        <w:ind w:left="1235" w:leftChars="0" w:firstLineChars="0"/>
      </w:pPr>
      <w:r>
        <w:rPr>
          <w:rFonts w:hint="eastAsia"/>
        </w:rPr>
        <w:t>服务周期</w:t>
      </w:r>
    </w:p>
    <w:p w14:paraId="00DDC0D0">
      <w:pPr>
        <w:spacing w:line="360" w:lineRule="auto"/>
        <w:ind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基础检测同基础施工周期，满足比选人要求。</w:t>
      </w:r>
    </w:p>
    <w:p w14:paraId="563A9479">
      <w:pPr>
        <w:pStyle w:val="3"/>
        <w:ind w:left="1235" w:leftChars="0" w:firstLineChars="0"/>
      </w:pPr>
      <w:r>
        <w:rPr>
          <w:rFonts w:hint="eastAsia"/>
        </w:rPr>
        <w:t>比选申请人资格条件</w:t>
      </w:r>
    </w:p>
    <w:p w14:paraId="205EC68B">
      <w:pPr>
        <w:spacing w:line="360" w:lineRule="auto"/>
        <w:ind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1.4.1 比选申请人具有独立法人资格，具有有效的营业执照或事业单位法人证书，没有处于被吊销营业执照、责令关闭或者被撤销等不良状态，具有交通运输部工程质量监督局核发的水运工程结构甲级资质、省级或省级以上质量技术监督行政管理部门颁发的计量认证证书；</w:t>
      </w:r>
    </w:p>
    <w:p w14:paraId="6EF3869A">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 xml:space="preserve">1.4.2 2019 年 </w:t>
      </w:r>
      <w:r>
        <w:rPr>
          <w:rFonts w:hint="eastAsia" w:ascii="仿宋_GB2312" w:hAnsi="仿宋_GB2312" w:eastAsia="仿宋_GB2312"/>
          <w:sz w:val="28"/>
          <w:highlight w:val="none"/>
          <w:lang w:val="en-US" w:eastAsia="zh-CN"/>
        </w:rPr>
        <w:t>9</w:t>
      </w:r>
      <w:r>
        <w:rPr>
          <w:rFonts w:hint="eastAsia" w:ascii="仿宋_GB2312" w:hAnsi="仿宋_GB2312" w:eastAsia="仿宋_GB2312"/>
          <w:sz w:val="28"/>
          <w:highlight w:val="none"/>
          <w:lang w:eastAsia="zh-CN"/>
        </w:rPr>
        <w:t xml:space="preserve"> 月 1</w:t>
      </w:r>
      <w:r>
        <w:rPr>
          <w:rFonts w:hint="eastAsia" w:ascii="仿宋_GB2312" w:hAnsi="仿宋_GB2312" w:eastAsia="仿宋_GB2312"/>
          <w:sz w:val="28"/>
          <w:lang w:eastAsia="zh-CN"/>
        </w:rPr>
        <w:t xml:space="preserve"> 日至今，（以合同签订时间为准）至少具有 1 项码头工程水工桩基试验检测业绩。</w:t>
      </w:r>
    </w:p>
    <w:p w14:paraId="0F7FC66C">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 xml:space="preserve">1.4.3项目负责人须具备高级工程师及以上职称，具备有效的试验检测师证书（结构或水运结构与地基），并提供在本单位 2023 年 </w:t>
      </w:r>
      <w:r>
        <w:rPr>
          <w:rFonts w:hint="eastAsia" w:ascii="仿宋_GB2312" w:hAnsi="仿宋_GB2312" w:eastAsia="仿宋_GB2312"/>
          <w:sz w:val="28"/>
          <w:lang w:val="en-US" w:eastAsia="zh-CN"/>
        </w:rPr>
        <w:t>9</w:t>
      </w:r>
      <w:r>
        <w:rPr>
          <w:rFonts w:hint="eastAsia" w:ascii="仿宋_GB2312" w:hAnsi="仿宋_GB2312" w:eastAsia="仿宋_GB2312"/>
          <w:sz w:val="28"/>
          <w:lang w:eastAsia="zh-CN"/>
        </w:rPr>
        <w:t xml:space="preserve"> 月至今任意六个月本单位为其缴纳养老保险的有效证明材料。</w:t>
      </w:r>
    </w:p>
    <w:p w14:paraId="33EBD61B">
      <w:pPr>
        <w:pStyle w:val="15"/>
        <w:ind w:left="0" w:leftChars="0" w:firstLine="560" w:firstLineChars="200"/>
        <w:rPr>
          <w:rFonts w:ascii="仿宋_GB2312" w:hAnsi="仿宋_GB2312" w:eastAsia="仿宋_GB2312"/>
          <w:sz w:val="28"/>
        </w:rPr>
      </w:pPr>
      <w:r>
        <w:rPr>
          <w:rFonts w:hint="eastAsia" w:ascii="仿宋_GB2312" w:hAnsi="仿宋_GB2312" w:eastAsia="仿宋_GB2312"/>
          <w:sz w:val="28"/>
        </w:rPr>
        <w:t>1.4.4在“信用中国”网站（www.creditchina.gov.cn）中未被列入失信被执行人名单、企业经营异常情况名录、重大税收违法案件当事人名单。</w:t>
      </w:r>
    </w:p>
    <w:p w14:paraId="79819E79">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1.4.5本次比选不接受联合体申请。</w:t>
      </w:r>
    </w:p>
    <w:p w14:paraId="7CA991E6">
      <w:pPr>
        <w:pStyle w:val="3"/>
        <w:ind w:left="1235" w:leftChars="0" w:firstLineChars="0"/>
      </w:pPr>
      <w:r>
        <w:rPr>
          <w:rFonts w:hint="eastAsia"/>
        </w:rPr>
        <w:t>比选文件的获取</w:t>
      </w:r>
    </w:p>
    <w:p w14:paraId="104F0DD5">
      <w:pPr>
        <w:pStyle w:val="15"/>
        <w:ind w:left="0" w:leftChars="0" w:firstLine="560" w:firstLineChars="200"/>
        <w:rPr>
          <w:rFonts w:ascii="仿宋_GB2312" w:hAnsi="仿宋_GB2312" w:eastAsia="仿宋_GB2312"/>
          <w:sz w:val="28"/>
          <w:highlight w:val="yellow"/>
          <w:lang w:eastAsia="zh-CN"/>
        </w:rPr>
      </w:pPr>
      <w:r>
        <w:rPr>
          <w:rFonts w:hint="eastAsia" w:ascii="仿宋_GB2312" w:hAnsi="仿宋_GB2312" w:eastAsia="仿宋_GB2312"/>
          <w:sz w:val="28"/>
          <w:lang w:eastAsia="zh-CN"/>
        </w:rPr>
        <w:t>1.5.1 比选文件发</w:t>
      </w:r>
      <w:r>
        <w:rPr>
          <w:rFonts w:hint="eastAsia" w:ascii="仿宋_GB2312" w:hAnsi="仿宋_GB2312" w:eastAsia="仿宋_GB2312"/>
          <w:sz w:val="28"/>
          <w:highlight w:val="none"/>
          <w:lang w:eastAsia="zh-CN"/>
        </w:rPr>
        <w:t>布时间 2024 年</w:t>
      </w:r>
      <w:r>
        <w:rPr>
          <w:rFonts w:hint="eastAsia" w:ascii="仿宋_GB2312" w:hAnsi="仿宋_GB2312" w:eastAsia="仿宋_GB2312"/>
          <w:sz w:val="28"/>
          <w:highlight w:val="none"/>
          <w:lang w:val="en-US" w:eastAsia="zh-CN"/>
        </w:rPr>
        <w:t xml:space="preserve"> 9 </w:t>
      </w:r>
      <w:r>
        <w:rPr>
          <w:rFonts w:hint="eastAsia" w:ascii="仿宋_GB2312" w:hAnsi="仿宋_GB2312" w:eastAsia="仿宋_GB2312"/>
          <w:sz w:val="28"/>
          <w:highlight w:val="none"/>
          <w:lang w:eastAsia="zh-CN"/>
        </w:rPr>
        <w:t>月</w:t>
      </w:r>
      <w:r>
        <w:rPr>
          <w:rFonts w:hint="eastAsia" w:ascii="仿宋_GB2312" w:hAnsi="仿宋_GB2312" w:eastAsia="仿宋_GB2312"/>
          <w:sz w:val="28"/>
          <w:highlight w:val="none"/>
          <w:lang w:val="en-US" w:eastAsia="zh-CN"/>
        </w:rPr>
        <w:t xml:space="preserve"> 24 </w:t>
      </w:r>
      <w:r>
        <w:rPr>
          <w:rFonts w:hint="eastAsia" w:ascii="仿宋_GB2312" w:hAnsi="仿宋_GB2312" w:eastAsia="仿宋_GB2312"/>
          <w:sz w:val="28"/>
          <w:highlight w:val="none"/>
          <w:lang w:eastAsia="zh-CN"/>
        </w:rPr>
        <w:t>日。</w:t>
      </w:r>
    </w:p>
    <w:p w14:paraId="43D25FCC">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highlight w:val="none"/>
          <w:lang w:eastAsia="zh-CN"/>
        </w:rPr>
        <w:t>1.5.2 申请人在 2024 年</w:t>
      </w:r>
      <w:r>
        <w:rPr>
          <w:rFonts w:hint="eastAsia" w:ascii="仿宋_GB2312" w:hAnsi="仿宋_GB2312" w:eastAsia="仿宋_GB2312"/>
          <w:sz w:val="28"/>
          <w:highlight w:val="none"/>
          <w:lang w:val="en-US" w:eastAsia="zh-CN"/>
        </w:rPr>
        <w:t xml:space="preserve"> 9 </w:t>
      </w:r>
      <w:r>
        <w:rPr>
          <w:rFonts w:hint="eastAsia" w:ascii="仿宋_GB2312" w:hAnsi="仿宋_GB2312" w:eastAsia="仿宋_GB2312"/>
          <w:sz w:val="28"/>
          <w:highlight w:val="none"/>
          <w:lang w:eastAsia="zh-CN"/>
        </w:rPr>
        <w:t>月</w:t>
      </w:r>
      <w:r>
        <w:rPr>
          <w:rFonts w:hint="eastAsia" w:ascii="仿宋_GB2312" w:hAnsi="仿宋_GB2312" w:eastAsia="仿宋_GB2312"/>
          <w:sz w:val="28"/>
          <w:highlight w:val="none"/>
          <w:lang w:val="en-US" w:eastAsia="zh-CN"/>
        </w:rPr>
        <w:t xml:space="preserve"> 28 </w:t>
      </w:r>
      <w:r>
        <w:rPr>
          <w:rFonts w:hint="eastAsia" w:ascii="仿宋_GB2312" w:hAnsi="仿宋_GB2312" w:eastAsia="仿宋_GB2312"/>
          <w:sz w:val="28"/>
          <w:highlight w:val="none"/>
          <w:lang w:eastAsia="zh-CN"/>
        </w:rPr>
        <w:t>日</w:t>
      </w:r>
      <w:r>
        <w:rPr>
          <w:rFonts w:hint="eastAsia" w:ascii="仿宋_GB2312" w:hAnsi="仿宋_GB2312" w:eastAsia="仿宋_GB2312"/>
          <w:sz w:val="28"/>
          <w:highlight w:val="none"/>
          <w:lang w:val="en-US" w:eastAsia="zh-CN"/>
        </w:rPr>
        <w:t xml:space="preserve"> 14：00 </w:t>
      </w:r>
      <w:r>
        <w:rPr>
          <w:rFonts w:hint="eastAsia" w:ascii="仿宋_GB2312" w:hAnsi="仿宋_GB2312" w:eastAsia="仿宋_GB2312"/>
          <w:sz w:val="28"/>
          <w:highlight w:val="none"/>
          <w:lang w:eastAsia="zh-CN"/>
        </w:rPr>
        <w:t>前</w:t>
      </w:r>
      <w:r>
        <w:rPr>
          <w:rFonts w:hint="eastAsia" w:ascii="仿宋_GB2312" w:hAnsi="仿宋_GB2312" w:eastAsia="仿宋_GB2312"/>
          <w:sz w:val="28"/>
          <w:lang w:eastAsia="zh-CN"/>
        </w:rPr>
        <w:t>（北京时间，以到账时间为准）向比选人提交 300 元的工本费。</w:t>
      </w:r>
    </w:p>
    <w:p w14:paraId="5F2B2352">
      <w:pPr>
        <w:spacing w:line="360" w:lineRule="auto"/>
        <w:ind w:firstLine="560" w:firstLineChars="200"/>
        <w:rPr>
          <w:rFonts w:hint="eastAsia" w:ascii="仿宋_GB2312" w:hAnsi="仿宋_GB2312" w:eastAsia="仿宋_GB2312"/>
          <w:sz w:val="28"/>
          <w:lang w:eastAsia="zh-CN"/>
        </w:rPr>
      </w:pPr>
      <w:r>
        <w:rPr>
          <w:rFonts w:hint="eastAsia" w:ascii="仿宋_GB2312" w:hAnsi="仿宋_GB2312" w:eastAsia="仿宋_GB2312"/>
          <w:sz w:val="28"/>
          <w:lang w:eastAsia="zh-CN"/>
        </w:rPr>
        <w:t>开户名称：沧州渤海港埠有限公司</w:t>
      </w:r>
    </w:p>
    <w:p w14:paraId="658EAF8B">
      <w:pPr>
        <w:spacing w:line="360" w:lineRule="auto"/>
        <w:ind w:firstLine="560" w:firstLineChars="200"/>
        <w:rPr>
          <w:rFonts w:hint="eastAsia" w:ascii="仿宋_GB2312" w:hAnsi="仿宋_GB2312" w:eastAsia="仿宋_GB2312"/>
          <w:sz w:val="28"/>
          <w:lang w:eastAsia="zh-CN"/>
        </w:rPr>
      </w:pPr>
      <w:r>
        <w:rPr>
          <w:rFonts w:hint="eastAsia" w:ascii="仿宋_GB2312" w:hAnsi="仿宋_GB2312" w:eastAsia="仿宋_GB2312"/>
          <w:sz w:val="28"/>
          <w:lang w:eastAsia="zh-CN"/>
        </w:rPr>
        <w:t>账号：0408 0008 0930 0048 227</w:t>
      </w:r>
    </w:p>
    <w:p w14:paraId="42F2F04E">
      <w:pPr>
        <w:spacing w:line="360" w:lineRule="auto"/>
        <w:ind w:firstLine="560" w:firstLineChars="200"/>
        <w:rPr>
          <w:rFonts w:hint="eastAsia" w:ascii="仿宋_GB2312" w:hAnsi="仿宋_GB2312" w:eastAsia="仿宋_GB2312"/>
          <w:sz w:val="28"/>
          <w:lang w:eastAsia="zh-CN"/>
        </w:rPr>
      </w:pPr>
      <w:r>
        <w:rPr>
          <w:rFonts w:hint="eastAsia" w:ascii="仿宋_GB2312" w:hAnsi="仿宋_GB2312" w:eastAsia="仿宋_GB2312"/>
          <w:sz w:val="28"/>
          <w:lang w:eastAsia="zh-CN"/>
        </w:rPr>
        <w:t>开户行：工行沧州渤海新区支行</w:t>
      </w:r>
    </w:p>
    <w:p w14:paraId="4FE33279">
      <w:pPr>
        <w:spacing w:line="360" w:lineRule="auto"/>
        <w:ind w:firstLine="562" w:firstLineChars="200"/>
        <w:rPr>
          <w:rFonts w:ascii="仿宋_GB2312" w:hAnsi="仿宋_GB2312" w:eastAsia="仿宋_GB2312"/>
          <w:b/>
          <w:bCs/>
          <w:sz w:val="28"/>
          <w:lang w:eastAsia="zh-CN"/>
        </w:rPr>
      </w:pPr>
      <w:r>
        <w:rPr>
          <w:rFonts w:hint="eastAsia" w:ascii="仿宋_GB2312" w:hAnsi="仿宋_GB2312" w:eastAsia="仿宋_GB2312"/>
          <w:b/>
          <w:bCs/>
          <w:sz w:val="28"/>
          <w:lang w:eastAsia="zh-CN"/>
        </w:rPr>
        <w:t>提交工本费时需备注比选申请人及项目名称。不按时间要求提交工本费的，其比选申请文件将被拒收。</w:t>
      </w:r>
    </w:p>
    <w:p w14:paraId="5A143CB9">
      <w:pPr>
        <w:pStyle w:val="3"/>
        <w:ind w:left="1235" w:leftChars="0" w:firstLineChars="0"/>
      </w:pPr>
      <w:r>
        <w:rPr>
          <w:rFonts w:hint="eastAsia"/>
        </w:rPr>
        <w:t>比选文件的递交</w:t>
      </w:r>
    </w:p>
    <w:p w14:paraId="556A6D35">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1.6.1所有参与比选的申请人应根据比选文件的要求编制比选申请文件并提交给比选人，提交比选申请文件的截止时间为：</w:t>
      </w:r>
      <w:r>
        <w:rPr>
          <w:rFonts w:hint="eastAsia" w:ascii="仿宋_GB2312" w:hAnsi="仿宋_GB2312" w:eastAsia="仿宋_GB2312"/>
          <w:sz w:val="28"/>
          <w:highlight w:val="none"/>
          <w:lang w:eastAsia="zh-CN"/>
        </w:rPr>
        <w:t>2024 年</w:t>
      </w:r>
      <w:r>
        <w:rPr>
          <w:rFonts w:hint="eastAsia" w:ascii="仿宋_GB2312" w:hAnsi="仿宋_GB2312" w:eastAsia="仿宋_GB2312"/>
          <w:sz w:val="28"/>
          <w:highlight w:val="none"/>
          <w:lang w:val="en-US" w:eastAsia="zh-CN"/>
        </w:rPr>
        <w:t xml:space="preserve"> 9 </w:t>
      </w:r>
      <w:r>
        <w:rPr>
          <w:rFonts w:hint="eastAsia" w:ascii="仿宋_GB2312" w:hAnsi="仿宋_GB2312" w:eastAsia="仿宋_GB2312"/>
          <w:sz w:val="28"/>
          <w:highlight w:val="none"/>
          <w:lang w:eastAsia="zh-CN"/>
        </w:rPr>
        <w:t>月</w:t>
      </w:r>
      <w:r>
        <w:rPr>
          <w:rFonts w:hint="eastAsia" w:ascii="仿宋_GB2312" w:hAnsi="仿宋_GB2312" w:eastAsia="仿宋_GB2312"/>
          <w:sz w:val="28"/>
          <w:highlight w:val="none"/>
          <w:lang w:val="en-US" w:eastAsia="zh-CN"/>
        </w:rPr>
        <w:t xml:space="preserve"> 29 </w:t>
      </w:r>
      <w:r>
        <w:rPr>
          <w:rFonts w:hint="eastAsia" w:ascii="仿宋_GB2312" w:hAnsi="仿宋_GB2312" w:eastAsia="仿宋_GB2312"/>
          <w:sz w:val="28"/>
          <w:highlight w:val="none"/>
          <w:lang w:eastAsia="zh-CN"/>
        </w:rPr>
        <w:t>日</w:t>
      </w:r>
      <w:r>
        <w:rPr>
          <w:rFonts w:hint="eastAsia" w:ascii="仿宋_GB2312" w:hAnsi="仿宋_GB2312" w:eastAsia="仿宋_GB2312"/>
          <w:sz w:val="28"/>
          <w:highlight w:val="none"/>
          <w:lang w:val="en-US" w:eastAsia="zh-CN"/>
        </w:rPr>
        <w:t>下午14：00前</w:t>
      </w:r>
      <w:r>
        <w:rPr>
          <w:rFonts w:hint="eastAsia" w:ascii="仿宋_GB2312" w:hAnsi="仿宋_GB2312" w:eastAsia="仿宋_GB2312"/>
          <w:sz w:val="28"/>
          <w:highlight w:val="none"/>
          <w:lang w:eastAsia="zh-CN"/>
        </w:rPr>
        <w:t>。</w:t>
      </w:r>
      <w:r>
        <w:rPr>
          <w:rFonts w:hint="eastAsia" w:ascii="仿宋_GB2312" w:hAnsi="仿宋_GB2312" w:eastAsia="仿宋_GB2312"/>
          <w:sz w:val="28"/>
          <w:lang w:eastAsia="zh-CN"/>
        </w:rPr>
        <w:t>提供电子版文件，比选申请人在截止日期前把电子版文件发送到：</w:t>
      </w:r>
      <w:r>
        <w:fldChar w:fldCharType="begin"/>
      </w:r>
      <w:r>
        <w:instrText xml:space="preserve"> HYPERLINK "mailto:czgwjtjcs@163.com" </w:instrText>
      </w:r>
      <w:r>
        <w:fldChar w:fldCharType="separate"/>
      </w:r>
      <w:r>
        <w:rPr>
          <w:rStyle w:val="18"/>
          <w:rFonts w:hint="eastAsia" w:ascii="仿宋_GB2312" w:hAnsi="仿宋_GB2312" w:eastAsia="仿宋_GB2312"/>
          <w:b/>
          <w:bCs/>
          <w:sz w:val="28"/>
          <w:lang w:eastAsia="zh-CN"/>
        </w:rPr>
        <w:t>czgwjtjcs@163.com</w:t>
      </w:r>
      <w:r>
        <w:rPr>
          <w:rStyle w:val="18"/>
          <w:rFonts w:hint="eastAsia" w:ascii="仿宋_GB2312" w:hAnsi="仿宋_GB2312" w:eastAsia="仿宋_GB2312"/>
          <w:b/>
          <w:bCs/>
          <w:sz w:val="28"/>
          <w:lang w:eastAsia="zh-CN"/>
        </w:rPr>
        <w:fldChar w:fldCharType="end"/>
      </w:r>
      <w:r>
        <w:rPr>
          <w:rFonts w:hint="eastAsia" w:ascii="仿宋_GB2312" w:hAnsi="仿宋_GB2312" w:eastAsia="仿宋_GB2312"/>
          <w:b/>
          <w:bCs/>
          <w:sz w:val="28"/>
          <w:lang w:eastAsia="zh-CN"/>
        </w:rPr>
        <w:t xml:space="preserve"> </w:t>
      </w:r>
      <w:r>
        <w:rPr>
          <w:rFonts w:hint="eastAsia" w:ascii="仿宋_GB2312" w:hAnsi="仿宋_GB2312" w:eastAsia="仿宋_GB2312"/>
          <w:sz w:val="28"/>
          <w:lang w:eastAsia="zh-CN"/>
        </w:rPr>
        <w:t>邮箱，递交时间即为邮箱中显示收到的时间，因比选申请人原因导致未能发送成功的，后果自负。</w:t>
      </w:r>
      <w:r>
        <w:rPr>
          <w:rFonts w:hint="eastAsia" w:ascii="仿宋_GB2312" w:hAnsi="仿宋_GB2312" w:eastAsia="仿宋_GB2312"/>
          <w:b/>
          <w:bCs/>
          <w:sz w:val="28"/>
          <w:lang w:eastAsia="zh-CN"/>
        </w:rPr>
        <w:t>评审时，按电子版文件评审，纸质版文件只作为存档资料。</w:t>
      </w:r>
      <w:r>
        <w:rPr>
          <w:rFonts w:hint="eastAsia" w:ascii="仿宋_GB2312" w:hAnsi="仿宋_GB2312" w:eastAsia="仿宋_GB2312"/>
          <w:sz w:val="28"/>
          <w:lang w:eastAsia="zh-CN"/>
        </w:rPr>
        <w:t>比选申请人需将纸质版文件提供给比选人，可选择邮寄。地址：河北省沧州市渤海新区沧州渤海港埠有限公司 郝东太 17532027597</w:t>
      </w:r>
    </w:p>
    <w:p w14:paraId="6EEC6896">
      <w:pPr>
        <w:pStyle w:val="3"/>
        <w:ind w:left="1235" w:leftChars="0" w:firstLineChars="0"/>
      </w:pPr>
      <w:r>
        <w:rPr>
          <w:rFonts w:hint="eastAsia"/>
        </w:rPr>
        <w:t>比选公告发布媒体</w:t>
      </w:r>
    </w:p>
    <w:p w14:paraId="7E7536A1">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1.7.1 本次比选公告仅在沧州港务集团有限公司网站（网址： http://www.czgwjt.com/）发布。本项目一律通过沧州港务集团有限公司在网上发布澄清、补疑、答疑等文件，比选申请人要随时进行查看。未能及时关注造成的一切后果由比选申请人自行承担。</w:t>
      </w:r>
    </w:p>
    <w:p w14:paraId="71BDAD4E">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1.7.2 比选人：沧州港务集团有限公司</w:t>
      </w:r>
    </w:p>
    <w:p w14:paraId="14AE7C0E">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1.7.3 地址：沧州渤海新区港务大厦</w:t>
      </w:r>
    </w:p>
    <w:p w14:paraId="04D9DC2A">
      <w:pPr>
        <w:pStyle w:val="15"/>
        <w:ind w:left="0" w:leftChars="0" w:firstLine="560" w:firstLineChars="200"/>
        <w:rPr>
          <w:rFonts w:ascii="仿宋_GB2312" w:hAnsi="仿宋_GB2312" w:eastAsia="仿宋_GB2312"/>
          <w:sz w:val="28"/>
          <w:highlight w:val="yellow"/>
          <w:lang w:eastAsia="zh-CN"/>
        </w:rPr>
      </w:pPr>
      <w:r>
        <w:rPr>
          <w:rFonts w:hint="eastAsia" w:ascii="仿宋_GB2312" w:hAnsi="仿宋_GB2312" w:eastAsia="仿宋_GB2312"/>
          <w:sz w:val="28"/>
          <w:lang w:eastAsia="zh-CN"/>
        </w:rPr>
        <w:t xml:space="preserve">1.7.4 </w:t>
      </w:r>
      <w:r>
        <w:rPr>
          <w:rFonts w:hint="eastAsia" w:ascii="仿宋_GB2312" w:hAnsi="仿宋_GB2312" w:eastAsia="仿宋_GB2312"/>
          <w:sz w:val="28"/>
          <w:highlight w:val="none"/>
          <w:lang w:eastAsia="zh-CN"/>
        </w:rPr>
        <w:t>邮编：061113</w:t>
      </w:r>
    </w:p>
    <w:p w14:paraId="34DFD7C7">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1.7.5 联系人：郝东太</w:t>
      </w:r>
    </w:p>
    <w:p w14:paraId="0A65C0B1">
      <w:pPr>
        <w:pStyle w:val="15"/>
        <w:ind w:left="0" w:leftChars="0" w:firstLine="560" w:firstLineChars="200"/>
        <w:rPr>
          <w:rFonts w:ascii="仿宋_GB2312" w:hAnsi="仿宋_GB2312" w:eastAsia="仿宋_GB2312"/>
          <w:sz w:val="28"/>
          <w:lang w:eastAsia="zh-CN"/>
        </w:rPr>
      </w:pPr>
      <w:r>
        <w:rPr>
          <w:rFonts w:hint="eastAsia" w:ascii="仿宋_GB2312" w:hAnsi="仿宋_GB2312" w:eastAsia="仿宋_GB2312"/>
          <w:sz w:val="28"/>
          <w:lang w:eastAsia="zh-CN"/>
        </w:rPr>
        <w:t>1.7.6 联系方式：17532027597</w:t>
      </w:r>
    </w:p>
    <w:p w14:paraId="7C9E0024">
      <w:pPr>
        <w:rPr>
          <w:rFonts w:ascii="仿宋_GB2312" w:hAnsi="仿宋_GB2312" w:eastAsia="仿宋_GB2312"/>
          <w:sz w:val="28"/>
          <w:lang w:eastAsia="zh-CN"/>
        </w:rPr>
      </w:pPr>
      <w:r>
        <w:rPr>
          <w:rFonts w:ascii="仿宋_GB2312" w:hAnsi="仿宋_GB2312" w:eastAsia="仿宋_GB2312"/>
          <w:sz w:val="28"/>
          <w:lang w:eastAsia="zh-CN"/>
        </w:rPr>
        <w:br w:type="page"/>
      </w:r>
    </w:p>
    <w:p w14:paraId="54786DF9">
      <w:pPr>
        <w:pStyle w:val="2"/>
        <w:rPr>
          <w:lang w:eastAsia="zh-CN"/>
        </w:rPr>
      </w:pPr>
      <w:r>
        <w:rPr>
          <w:lang w:eastAsia="zh-CN"/>
        </w:rPr>
        <w:t>项目说明</w:t>
      </w:r>
    </w:p>
    <w:p w14:paraId="2B1FBDE7">
      <w:pPr>
        <w:pStyle w:val="3"/>
        <w:ind w:left="1235" w:leftChars="0" w:firstLineChars="0"/>
        <w:rPr>
          <w:lang w:eastAsia="zh-CN"/>
        </w:rPr>
      </w:pPr>
      <w:r>
        <w:rPr>
          <w:lang w:eastAsia="zh-CN"/>
        </w:rPr>
        <w:t>项目说明</w:t>
      </w:r>
    </w:p>
    <w:p w14:paraId="7BC51597">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通过本次比选确定黄骅港综合港区9号10号通用泊位工程</w:t>
      </w:r>
      <w:r>
        <w:rPr>
          <w:rFonts w:hint="eastAsia" w:ascii="仿宋_GB2312" w:hAnsi="仿宋_GB2312" w:eastAsia="仿宋_GB2312"/>
          <w:sz w:val="28"/>
          <w:lang w:eastAsia="zh-CN"/>
        </w:rPr>
        <w:t>桩基检测（水工结构部分）的</w:t>
      </w:r>
      <w:r>
        <w:rPr>
          <w:rFonts w:ascii="仿宋_GB2312" w:hAnsi="仿宋_GB2312" w:eastAsia="仿宋_GB2312"/>
          <w:sz w:val="28"/>
          <w:lang w:eastAsia="zh-CN"/>
        </w:rPr>
        <w:t>检测单位，并接受纪检监察部的监督管理。</w:t>
      </w:r>
    </w:p>
    <w:p w14:paraId="52DA376B">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本次比选按得分高低排名，比选人应当确定排名第一的中选候选人为中选人，排名第一的中选候选人放弃中选、因不可抗力不能履行合同、不按照比选文件要求提交履约保证金（如有），或者被查实存在影响中选结果的违法行为等情形，不符合中选条件的，比选人可以按照评标委员会提出的中选候选人名单排序依次确定其他中选候选人为中选人，也可以重新比选。</w:t>
      </w:r>
    </w:p>
    <w:p w14:paraId="188CDD90">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有下列情形者，取消或暂停其服务资格：</w:t>
      </w:r>
    </w:p>
    <w:p w14:paraId="6F1CA10C">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不具备相关资质要求，通过虚假手段中选者；</w:t>
      </w:r>
    </w:p>
    <w:p w14:paraId="385B2AFE">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服务质量差，未履行合同承诺，受到相关单位投诉属实的；</w:t>
      </w:r>
    </w:p>
    <w:p w14:paraId="1C8D1FD4">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服务过程中违反职业道德，出现严重失职、营私舞弊、泄露企业商业秘密等情形的；</w:t>
      </w:r>
    </w:p>
    <w:p w14:paraId="6D0ABB6A">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2.1.3.4</w:t>
      </w:r>
      <w:r>
        <w:rPr>
          <w:rFonts w:hint="eastAsia" w:ascii="仿宋_GB2312" w:hAnsi="仿宋_GB2312" w:eastAsia="仿宋_GB2312"/>
          <w:sz w:val="28"/>
          <w:lang w:eastAsia="zh-CN"/>
        </w:rPr>
        <w:t xml:space="preserve"> </w:t>
      </w:r>
      <w:r>
        <w:rPr>
          <w:rFonts w:ascii="仿宋_GB2312" w:hAnsi="仿宋_GB2312" w:eastAsia="仿宋_GB2312"/>
          <w:sz w:val="28"/>
          <w:lang w:eastAsia="zh-CN"/>
        </w:rPr>
        <w:t>受到有关行政主管机关、行业组织处分的；</w:t>
      </w:r>
    </w:p>
    <w:p w14:paraId="4FC4C293">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2.1.3.5</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未按要求派驻专业人员的；</w:t>
      </w:r>
    </w:p>
    <w:p w14:paraId="4A695EFD">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2.1.3.6</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比选人要求禁止的其他情形。</w:t>
      </w:r>
    </w:p>
    <w:p w14:paraId="476DE4BB">
      <w:pPr>
        <w:pStyle w:val="3"/>
        <w:ind w:left="1235" w:leftChars="0" w:firstLineChars="0"/>
        <w:rPr>
          <w:lang w:eastAsia="zh-CN"/>
        </w:rPr>
      </w:pPr>
      <w:r>
        <w:rPr>
          <w:lang w:eastAsia="zh-CN"/>
        </w:rPr>
        <w:t>服务范围和要求</w:t>
      </w:r>
    </w:p>
    <w:p w14:paraId="5DECA516">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2.2.1负责黄骅港综合港区9号10号通用泊位工程</w:t>
      </w:r>
      <w:r>
        <w:rPr>
          <w:rFonts w:hint="eastAsia" w:ascii="仿宋_GB2312" w:hAnsi="仿宋_GB2312" w:eastAsia="仿宋_GB2312"/>
          <w:sz w:val="28"/>
          <w:lang w:eastAsia="zh-CN"/>
        </w:rPr>
        <w:t>桩基检测（水工结构部分）</w:t>
      </w:r>
      <w:r>
        <w:rPr>
          <w:rFonts w:ascii="仿宋_GB2312" w:hAnsi="仿宋_GB2312" w:eastAsia="仿宋_GB2312"/>
          <w:sz w:val="28"/>
          <w:lang w:eastAsia="zh-CN"/>
        </w:rPr>
        <w:t>提供检测服务。</w:t>
      </w:r>
      <w:r>
        <w:rPr>
          <w:rFonts w:hint="eastAsia" w:ascii="仿宋_GB2312" w:hAnsi="仿宋_GB2312" w:eastAsia="仿宋_GB2312"/>
          <w:sz w:val="28"/>
          <w:lang w:eastAsia="zh-CN"/>
        </w:rPr>
        <w:t>（不包括使用期检测服务）</w:t>
      </w:r>
    </w:p>
    <w:p w14:paraId="5A861DF3">
      <w:pPr>
        <w:pStyle w:val="15"/>
        <w:ind w:left="0" w:leftChars="0" w:firstLine="562" w:firstLineChars="200"/>
        <w:rPr>
          <w:rFonts w:ascii="仿宋_GB2312" w:hAnsi="仿宋_GB2312" w:eastAsia="仿宋_GB2312"/>
          <w:b/>
          <w:bCs/>
          <w:sz w:val="28"/>
          <w:lang w:eastAsia="zh-CN"/>
        </w:rPr>
      </w:pPr>
      <w:r>
        <w:rPr>
          <w:rFonts w:ascii="仿宋_GB2312" w:hAnsi="仿宋_GB2312" w:eastAsia="仿宋_GB2312"/>
          <w:b/>
          <w:bCs/>
          <w:sz w:val="28"/>
          <w:lang w:eastAsia="zh-CN"/>
        </w:rPr>
        <w:t>2.2.2本次报价采用固定总价形式，报价包含码头</w:t>
      </w:r>
      <w:r>
        <w:rPr>
          <w:rFonts w:hint="eastAsia" w:ascii="仿宋_GB2312" w:hAnsi="仿宋_GB2312" w:eastAsia="仿宋_GB2312"/>
          <w:b/>
          <w:bCs/>
          <w:sz w:val="28"/>
          <w:lang w:eastAsia="zh-CN"/>
        </w:rPr>
        <w:t>桩基</w:t>
      </w:r>
      <w:r>
        <w:rPr>
          <w:rFonts w:ascii="仿宋_GB2312" w:hAnsi="仿宋_GB2312" w:eastAsia="仿宋_GB2312"/>
          <w:b/>
          <w:bCs/>
          <w:sz w:val="28"/>
          <w:lang w:eastAsia="zh-CN"/>
        </w:rPr>
        <w:t>检测服务</w:t>
      </w:r>
      <w:r>
        <w:rPr>
          <w:rFonts w:hint="eastAsia" w:ascii="仿宋_GB2312" w:hAnsi="仿宋_GB2312" w:eastAsia="仿宋_GB2312"/>
          <w:b/>
          <w:bCs/>
          <w:sz w:val="28"/>
          <w:lang w:eastAsia="zh-CN"/>
        </w:rPr>
        <w:t>（水工结构部分）</w:t>
      </w:r>
      <w:r>
        <w:rPr>
          <w:rFonts w:ascii="仿宋_GB2312" w:hAnsi="仿宋_GB2312" w:eastAsia="仿宋_GB2312"/>
          <w:b/>
          <w:bCs/>
          <w:sz w:val="28"/>
          <w:lang w:eastAsia="zh-CN"/>
        </w:rPr>
        <w:t>所需的全部费用，不因方案、工程范围、工程量、服务周期等变化而调整。请比选申请单位结合图纸、方案、比选文件要求及工程实际情况综合考虑报价 。</w:t>
      </w:r>
    </w:p>
    <w:p w14:paraId="6637CEC3">
      <w:pPr>
        <w:rPr>
          <w:rFonts w:ascii="仿宋_GB2312" w:hAnsi="仿宋_GB2312" w:eastAsia="仿宋_GB2312"/>
          <w:sz w:val="28"/>
          <w:lang w:eastAsia="zh-CN"/>
        </w:rPr>
      </w:pPr>
      <w:r>
        <w:rPr>
          <w:rFonts w:ascii="仿宋_GB2312" w:hAnsi="仿宋_GB2312" w:eastAsia="仿宋_GB2312"/>
          <w:sz w:val="28"/>
          <w:lang w:eastAsia="zh-CN"/>
        </w:rPr>
        <w:br w:type="page"/>
      </w:r>
    </w:p>
    <w:p w14:paraId="060406BB">
      <w:pPr>
        <w:pStyle w:val="2"/>
        <w:rPr>
          <w:lang w:eastAsia="zh-CN"/>
        </w:rPr>
      </w:pPr>
      <w:r>
        <w:rPr>
          <w:lang w:eastAsia="zh-CN"/>
        </w:rPr>
        <w:t>比选申请人须知</w:t>
      </w:r>
    </w:p>
    <w:p w14:paraId="6382D905">
      <w:pPr>
        <w:rPr>
          <w:lang w:eastAsia="zh-CN"/>
        </w:rPr>
      </w:pPr>
    </w:p>
    <w:p w14:paraId="2DCC91A6">
      <w:pPr>
        <w:pStyle w:val="3"/>
        <w:ind w:left="1235" w:leftChars="0" w:firstLineChars="0"/>
        <w:rPr>
          <w:lang w:eastAsia="zh-CN"/>
        </w:rPr>
      </w:pPr>
      <w:r>
        <w:rPr>
          <w:lang w:eastAsia="zh-CN"/>
        </w:rPr>
        <w:t>比选项目概况</w:t>
      </w:r>
    </w:p>
    <w:p w14:paraId="1BFC584F">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比选人：沧州港务集团有限公司。</w:t>
      </w:r>
    </w:p>
    <w:p w14:paraId="3AD4A1B8">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本次比选的范围和内容：见《第一章比选公告》</w:t>
      </w:r>
    </w:p>
    <w:p w14:paraId="0A4CF394">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3.1.3本次比选申请人应当具备的资格条件：见《第一章比选公告》。</w:t>
      </w:r>
    </w:p>
    <w:p w14:paraId="45291F2D">
      <w:pPr>
        <w:pStyle w:val="3"/>
        <w:ind w:left="1235" w:leftChars="0" w:firstLineChars="0"/>
        <w:rPr>
          <w:lang w:eastAsia="zh-CN"/>
        </w:rPr>
      </w:pPr>
      <w:r>
        <w:rPr>
          <w:lang w:eastAsia="zh-CN"/>
        </w:rPr>
        <w:t>比选文件</w:t>
      </w:r>
    </w:p>
    <w:p w14:paraId="559DD3D8">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3.2.1比选文件的组成</w:t>
      </w:r>
    </w:p>
    <w:p w14:paraId="22D4DEC9">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（一）比选公告；</w:t>
      </w:r>
    </w:p>
    <w:p w14:paraId="5B738C46">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（二）项目说明；</w:t>
      </w:r>
    </w:p>
    <w:p w14:paraId="7AD94FAA">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（三）比选申请人须知；</w:t>
      </w:r>
    </w:p>
    <w:p w14:paraId="7DD21EB8">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（四）比选标准和方法；</w:t>
      </w:r>
    </w:p>
    <w:p w14:paraId="00F183B1">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（五）比选申请文件格式；</w:t>
      </w:r>
    </w:p>
    <w:p w14:paraId="4C55C0BE">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比选申请人应认真检查比选文件的内容是否完整，如发现比选文件内容不完整的，应及时向比选人提出，以便补齐。</w:t>
      </w:r>
    </w:p>
    <w:p w14:paraId="10D00FA5">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比选文件的澄清和修改</w:t>
      </w:r>
    </w:p>
    <w:p w14:paraId="18F4EAFC">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3.2.2.1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比选申请人如对比选文件有疑问，应在提交比选申请文件截止时间前以书面方式提出，比选人将在收到疑问后及时将澄清文件公布在沧州港务集团有限公司官方网站上，但不载明澄清问题的来源。</w:t>
      </w:r>
    </w:p>
    <w:p w14:paraId="06E78850">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3.2.2.2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比选申请人自行下载确认，因未及时下载比选文件的澄清电子版所造成的后果，由比选申请人自行承担。</w:t>
      </w:r>
    </w:p>
    <w:p w14:paraId="7B651277">
      <w:pPr>
        <w:pStyle w:val="3"/>
        <w:ind w:left="1235" w:leftChars="0" w:firstLineChars="0"/>
        <w:rPr>
          <w:lang w:eastAsia="zh-CN"/>
        </w:rPr>
      </w:pPr>
      <w:r>
        <w:rPr>
          <w:lang w:eastAsia="zh-CN"/>
        </w:rPr>
        <w:t>比选申请文件</w:t>
      </w:r>
    </w:p>
    <w:p w14:paraId="6F826247">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比选申请文件的组成</w:t>
      </w:r>
    </w:p>
    <w:p w14:paraId="78013227">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比选申请函</w:t>
      </w:r>
    </w:p>
    <w:p w14:paraId="60EE05D1">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信用中国查询截图</w:t>
      </w:r>
    </w:p>
    <w:p w14:paraId="26620250">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3.3.1.3</w:t>
      </w:r>
      <w:r>
        <w:rPr>
          <w:rFonts w:hint="eastAsia" w:ascii="仿宋_GB2312" w:hAnsi="仿宋_GB2312" w:eastAsia="仿宋_GB2312"/>
          <w:sz w:val="28"/>
          <w:lang w:eastAsia="zh-CN"/>
        </w:rPr>
        <w:t xml:space="preserve"> </w:t>
      </w:r>
      <w:r>
        <w:rPr>
          <w:rFonts w:ascii="仿宋_GB2312" w:hAnsi="仿宋_GB2312" w:eastAsia="仿宋_GB2312"/>
          <w:sz w:val="28"/>
          <w:lang w:eastAsia="zh-CN"/>
        </w:rPr>
        <w:t>企业营业执照</w:t>
      </w:r>
    </w:p>
    <w:p w14:paraId="18FF734F">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3.3.1.4</w:t>
      </w:r>
      <w:r>
        <w:rPr>
          <w:rFonts w:hint="eastAsia" w:ascii="仿宋_GB2312" w:hAnsi="仿宋_GB2312" w:eastAsia="仿宋_GB2312"/>
          <w:sz w:val="28"/>
          <w:lang w:eastAsia="zh-CN"/>
        </w:rPr>
        <w:t xml:space="preserve"> </w:t>
      </w:r>
      <w:r>
        <w:rPr>
          <w:rFonts w:ascii="仿宋_GB2312" w:hAnsi="仿宋_GB2312" w:eastAsia="仿宋_GB2312"/>
          <w:sz w:val="28"/>
          <w:lang w:eastAsia="zh-CN"/>
        </w:rPr>
        <w:t>拟派驻的专业人员情况汇总表</w:t>
      </w:r>
    </w:p>
    <w:p w14:paraId="1AF752AD">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3.3.1.5</w:t>
      </w:r>
      <w:r>
        <w:rPr>
          <w:rFonts w:hint="eastAsia" w:ascii="仿宋_GB2312" w:hAnsi="仿宋_GB2312" w:eastAsia="仿宋_GB2312"/>
          <w:sz w:val="28"/>
          <w:lang w:eastAsia="zh-CN"/>
        </w:rPr>
        <w:t xml:space="preserve"> </w:t>
      </w:r>
      <w:r>
        <w:rPr>
          <w:rFonts w:ascii="仿宋_GB2312" w:hAnsi="仿宋_GB2312" w:eastAsia="仿宋_GB2312"/>
          <w:sz w:val="28"/>
          <w:lang w:eastAsia="zh-CN"/>
        </w:rPr>
        <w:t>拟派驻的专业人员简历表</w:t>
      </w:r>
    </w:p>
    <w:p w14:paraId="1D2B7A6F">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3.3.1.6</w:t>
      </w:r>
      <w:r>
        <w:rPr>
          <w:rFonts w:hint="eastAsia" w:ascii="仿宋_GB2312" w:hAnsi="仿宋_GB2312" w:eastAsia="仿宋_GB2312"/>
          <w:sz w:val="28"/>
          <w:lang w:eastAsia="zh-CN"/>
        </w:rPr>
        <w:t xml:space="preserve"> </w:t>
      </w:r>
      <w:r>
        <w:rPr>
          <w:rFonts w:ascii="仿宋_GB2312" w:hAnsi="仿宋_GB2312" w:eastAsia="仿宋_GB2312"/>
          <w:sz w:val="28"/>
          <w:lang w:eastAsia="zh-CN"/>
        </w:rPr>
        <w:t>报价文件</w:t>
      </w:r>
    </w:p>
    <w:p w14:paraId="2804C805">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3.3.1.7</w:t>
      </w:r>
      <w:r>
        <w:rPr>
          <w:rFonts w:hint="eastAsia" w:ascii="仿宋_GB2312" w:hAnsi="仿宋_GB2312" w:eastAsia="仿宋_GB2312"/>
          <w:sz w:val="28"/>
          <w:lang w:eastAsia="zh-CN"/>
        </w:rPr>
        <w:t xml:space="preserve"> </w:t>
      </w:r>
      <w:r>
        <w:rPr>
          <w:rFonts w:ascii="仿宋_GB2312" w:hAnsi="仿宋_GB2312" w:eastAsia="仿宋_GB2312"/>
          <w:sz w:val="28"/>
          <w:lang w:eastAsia="zh-CN"/>
        </w:rPr>
        <w:t>类似业绩</w:t>
      </w:r>
    </w:p>
    <w:p w14:paraId="5A7A3D88">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3.3.1.8</w:t>
      </w:r>
      <w:r>
        <w:rPr>
          <w:rFonts w:hint="eastAsia" w:ascii="仿宋_GB2312" w:hAnsi="仿宋_GB2312" w:eastAsia="仿宋_GB2312"/>
          <w:sz w:val="28"/>
          <w:lang w:eastAsia="zh-CN"/>
        </w:rPr>
        <w:t xml:space="preserve"> </w:t>
      </w:r>
      <w:r>
        <w:rPr>
          <w:rFonts w:ascii="仿宋_GB2312" w:hAnsi="仿宋_GB2312" w:eastAsia="仿宋_GB2312"/>
          <w:sz w:val="28"/>
          <w:lang w:eastAsia="zh-CN"/>
        </w:rPr>
        <w:t>技术服务方案</w:t>
      </w:r>
    </w:p>
    <w:p w14:paraId="1E9782D2">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3.3.1.9</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比选申请人认为需要提交的其他资料</w:t>
      </w:r>
    </w:p>
    <w:p w14:paraId="358261CB">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比选申请文件的编制</w:t>
      </w:r>
    </w:p>
    <w:p w14:paraId="65EE88BA">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比选申请文件应当按照本比选文件第五章要求的格式进行编制，并编制</w:t>
      </w:r>
      <w:r>
        <w:rPr>
          <w:rFonts w:ascii="仿宋_GB2312" w:hAnsi="仿宋_GB2312" w:eastAsia="仿宋_GB2312"/>
          <w:b/>
          <w:bCs/>
          <w:sz w:val="28"/>
          <w:lang w:eastAsia="zh-CN"/>
        </w:rPr>
        <w:t>比选申请文件目录及目录内容对应的页码</w:t>
      </w:r>
      <w:r>
        <w:rPr>
          <w:rFonts w:ascii="仿宋_GB2312" w:hAnsi="仿宋_GB2312" w:eastAsia="仿宋_GB2312"/>
          <w:sz w:val="28"/>
          <w:lang w:eastAsia="zh-CN"/>
        </w:rPr>
        <w:t>。</w:t>
      </w:r>
    </w:p>
    <w:p w14:paraId="0B003B90">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比选申请文件应当包括本比选文件第五章要求的各项内容，并按照比选文件的要求提供相应的证明材料。证明材料必须按文件要求的先后顺序进行归类。</w:t>
      </w:r>
    </w:p>
    <w:p w14:paraId="22F9BDAF">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比选申请文件（证明材料除外）应全部使用不褪色的材料打印，内容不得有任何涂改，并按先后顺序</w:t>
      </w:r>
      <w:r>
        <w:rPr>
          <w:rFonts w:ascii="仿宋_GB2312" w:hAnsi="仿宋_GB2312" w:eastAsia="仿宋_GB2312"/>
          <w:b/>
          <w:bCs/>
          <w:sz w:val="28"/>
          <w:lang w:eastAsia="zh-CN"/>
        </w:rPr>
        <w:t>逐页编码</w:t>
      </w:r>
      <w:r>
        <w:rPr>
          <w:rFonts w:ascii="仿宋_GB2312" w:hAnsi="仿宋_GB2312" w:eastAsia="仿宋_GB2312"/>
          <w:sz w:val="28"/>
          <w:lang w:eastAsia="zh-CN"/>
        </w:rPr>
        <w:t>。</w:t>
      </w:r>
    </w:p>
    <w:p w14:paraId="1BDC416B">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3.3.2.4</w:t>
      </w:r>
      <w:r>
        <w:rPr>
          <w:rFonts w:hint="eastAsia" w:ascii="仿宋_GB2312" w:hAnsi="仿宋_GB2312" w:eastAsia="仿宋_GB2312"/>
          <w:sz w:val="28"/>
          <w:lang w:eastAsia="zh-CN"/>
        </w:rPr>
        <w:t xml:space="preserve"> </w:t>
      </w:r>
      <w:r>
        <w:rPr>
          <w:rFonts w:ascii="仿宋_GB2312" w:hAnsi="仿宋_GB2312" w:eastAsia="仿宋_GB2312"/>
          <w:b/>
          <w:bCs/>
          <w:sz w:val="28"/>
          <w:lang w:eastAsia="zh-CN"/>
        </w:rPr>
        <w:t>比选申请文件正本 1 份；电子版一份，发送至指定邮箱。电子版文件需含有比选申请人签章。（注：电子版文件格式为.pdf）</w:t>
      </w:r>
    </w:p>
    <w:p w14:paraId="6BC67033">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比选申请文件有效期</w:t>
      </w:r>
    </w:p>
    <w:p w14:paraId="36CB358F">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3.3.3.1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比选申请文件有效期为比选文件规定的递交比选申请文件的截止时间之日起</w:t>
      </w:r>
      <w:r>
        <w:rPr>
          <w:rFonts w:ascii="仿宋_GB2312" w:hAnsi="仿宋_GB2312" w:eastAsia="仿宋_GB2312"/>
          <w:sz w:val="28"/>
          <w:u w:val="single"/>
          <w:lang w:eastAsia="zh-CN"/>
        </w:rPr>
        <w:t xml:space="preserve"> 60 </w:t>
      </w:r>
      <w:r>
        <w:rPr>
          <w:rFonts w:ascii="仿宋_GB2312" w:hAnsi="仿宋_GB2312" w:eastAsia="仿宋_GB2312"/>
          <w:sz w:val="28"/>
          <w:lang w:eastAsia="zh-CN"/>
        </w:rPr>
        <w:t>天，在此期限届满之前，比选申请人不得要求撤销或修改其比选申请文件。</w:t>
      </w:r>
    </w:p>
    <w:p w14:paraId="2CD2917B">
      <w:pPr>
        <w:pStyle w:val="3"/>
        <w:ind w:left="1235" w:leftChars="0" w:firstLineChars="0"/>
        <w:rPr>
          <w:lang w:eastAsia="zh-CN"/>
        </w:rPr>
      </w:pPr>
      <w:r>
        <w:rPr>
          <w:lang w:eastAsia="zh-CN"/>
        </w:rPr>
        <w:t>比选申请文件的评审</w:t>
      </w:r>
    </w:p>
    <w:p w14:paraId="2523F00E">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3.4.1</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评审工作由比选人组成评比委员会负责。</w:t>
      </w:r>
    </w:p>
    <w:p w14:paraId="6EBD10CA">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3.4.2</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评比委员会成员与参加比选的比选申请人之间不得存在利害关系，有利害关系的应当主动提出回避。</w:t>
      </w:r>
    </w:p>
    <w:p w14:paraId="663A0F10">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3.4.3</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评比活动遵循公平、公正、科学、择优的原则。</w:t>
      </w:r>
    </w:p>
    <w:p w14:paraId="5C60D86A">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3.4.4</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评比委员会成员及所有参与者应对比选申请人提交的比选 申请文件内容保密；比选申请人采用不正当手段对评比委员会成员施加影响的，将取消其比选资格。</w:t>
      </w:r>
    </w:p>
    <w:p w14:paraId="0A5B412A">
      <w:pPr>
        <w:pStyle w:val="3"/>
        <w:ind w:left="1235" w:leftChars="0" w:firstLineChars="0"/>
        <w:rPr>
          <w:lang w:eastAsia="zh-CN"/>
        </w:rPr>
      </w:pPr>
      <w:r>
        <w:rPr>
          <w:lang w:eastAsia="zh-CN"/>
        </w:rPr>
        <w:t>中选</w:t>
      </w:r>
    </w:p>
    <w:p w14:paraId="69DF95E3">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3.5.1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本项目实行综合评分法，按照得分高低进行排序选取第</w:t>
      </w:r>
      <w:r>
        <w:rPr>
          <w:rFonts w:hint="eastAsia" w:ascii="仿宋_GB2312" w:hAnsi="仿宋_GB2312" w:eastAsia="仿宋_GB2312"/>
          <w:sz w:val="28"/>
          <w:u w:val="single"/>
          <w:lang w:eastAsia="zh-CN"/>
        </w:rPr>
        <w:t xml:space="preserve"> </w:t>
      </w:r>
      <w:r>
        <w:rPr>
          <w:rFonts w:ascii="仿宋_GB2312" w:hAnsi="仿宋_GB2312" w:eastAsia="仿宋_GB2312"/>
          <w:sz w:val="28"/>
          <w:u w:val="single"/>
          <w:lang w:eastAsia="zh-CN"/>
        </w:rPr>
        <w:t>1</w:t>
      </w:r>
      <w:r>
        <w:rPr>
          <w:rFonts w:hint="eastAsia" w:ascii="仿宋_GB2312" w:hAnsi="仿宋_GB2312" w:eastAsia="仿宋_GB2312"/>
          <w:sz w:val="28"/>
          <w:u w:val="single"/>
          <w:lang w:eastAsia="zh-CN"/>
        </w:rPr>
        <w:t xml:space="preserve"> </w:t>
      </w:r>
      <w:r>
        <w:rPr>
          <w:rFonts w:ascii="仿宋_GB2312" w:hAnsi="仿宋_GB2312" w:eastAsia="仿宋_GB2312"/>
          <w:sz w:val="28"/>
          <w:lang w:eastAsia="zh-CN"/>
        </w:rPr>
        <w:t>名比选申请人为中选人。出现并列分数，按照申请人报价、综合实力、技术方案的先后顺序得分高低确定中选单位。</w:t>
      </w:r>
    </w:p>
    <w:p w14:paraId="502F5C03">
      <w:pPr>
        <w:pStyle w:val="15"/>
        <w:ind w:left="0" w:leftChars="0" w:firstLine="562" w:firstLineChars="200"/>
        <w:rPr>
          <w:rFonts w:ascii="仿宋_GB2312" w:hAnsi="仿宋_GB2312" w:eastAsia="仿宋_GB2312"/>
          <w:b/>
          <w:bCs/>
          <w:sz w:val="28"/>
          <w:lang w:eastAsia="zh-CN"/>
        </w:rPr>
      </w:pPr>
      <w:r>
        <w:rPr>
          <w:rFonts w:ascii="仿宋_GB2312" w:hAnsi="仿宋_GB2312" w:eastAsia="仿宋_GB2312"/>
          <w:b/>
          <w:bCs/>
          <w:sz w:val="28"/>
          <w:lang w:eastAsia="zh-CN"/>
        </w:rPr>
        <w:t>3.5.2</w:t>
      </w:r>
      <w:r>
        <w:rPr>
          <w:rFonts w:hint="eastAsia" w:ascii="仿宋_GB2312" w:hAnsi="仿宋_GB2312" w:eastAsia="仿宋_GB2312"/>
          <w:b/>
          <w:bCs/>
          <w:sz w:val="28"/>
          <w:lang w:eastAsia="zh-CN"/>
        </w:rPr>
        <w:t xml:space="preserve"> </w:t>
      </w:r>
      <w:r>
        <w:rPr>
          <w:rFonts w:ascii="仿宋_GB2312" w:hAnsi="仿宋_GB2312" w:eastAsia="仿宋_GB2312"/>
          <w:b/>
          <w:bCs/>
          <w:sz w:val="28"/>
          <w:lang w:eastAsia="zh-CN"/>
        </w:rPr>
        <w:t>评比结束后，比选人将评比结果通过沧州港务集团有限公司网站公示，公示期</w:t>
      </w:r>
      <w:r>
        <w:rPr>
          <w:rFonts w:ascii="仿宋_GB2312" w:hAnsi="仿宋_GB2312" w:eastAsia="仿宋_GB2312"/>
          <w:b/>
          <w:bCs/>
          <w:sz w:val="28"/>
          <w:u w:val="single"/>
          <w:lang w:eastAsia="zh-CN"/>
        </w:rPr>
        <w:t xml:space="preserve"> 1 </w:t>
      </w:r>
      <w:r>
        <w:rPr>
          <w:rFonts w:ascii="仿宋_GB2312" w:hAnsi="仿宋_GB2312" w:eastAsia="仿宋_GB2312"/>
          <w:b/>
          <w:bCs/>
          <w:sz w:val="28"/>
          <w:lang w:eastAsia="zh-CN"/>
        </w:rPr>
        <w:t>日。</w:t>
      </w:r>
    </w:p>
    <w:p w14:paraId="43E9B675">
      <w:pPr>
        <w:pStyle w:val="3"/>
        <w:ind w:left="1235" w:leftChars="0" w:firstLineChars="0"/>
        <w:rPr>
          <w:lang w:eastAsia="zh-CN"/>
        </w:rPr>
      </w:pPr>
      <w:r>
        <w:rPr>
          <w:lang w:eastAsia="zh-CN"/>
        </w:rPr>
        <w:t>重新比选和不再比选</w:t>
      </w:r>
    </w:p>
    <w:p w14:paraId="78097866">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3.6.1</w:t>
      </w:r>
      <w:r>
        <w:rPr>
          <w:rFonts w:hint="eastAsia" w:ascii="仿宋_GB2312" w:hAnsi="仿宋_GB2312" w:eastAsia="仿宋_GB2312"/>
          <w:sz w:val="28"/>
          <w:lang w:eastAsia="zh-CN"/>
        </w:rPr>
        <w:t xml:space="preserve"> </w:t>
      </w:r>
      <w:r>
        <w:rPr>
          <w:rFonts w:ascii="仿宋_GB2312" w:hAnsi="仿宋_GB2312" w:eastAsia="仿宋_GB2312"/>
          <w:sz w:val="28"/>
          <w:lang w:eastAsia="zh-CN"/>
        </w:rPr>
        <w:t>至递交比选申请文件截止时间止，比选申请人少于 3 家的， 比选人将重新进行比选。</w:t>
      </w:r>
    </w:p>
    <w:p w14:paraId="1E5CCF5A">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重新比选后，比选申请人达不到 3 家以上（含 3 家）的，比选人不再进行比选。</w:t>
      </w:r>
    </w:p>
    <w:p w14:paraId="698B718E">
      <w:pPr>
        <w:pStyle w:val="3"/>
        <w:ind w:left="1235" w:leftChars="0" w:firstLineChars="0"/>
        <w:rPr>
          <w:lang w:eastAsia="zh-CN"/>
        </w:rPr>
      </w:pPr>
      <w:r>
        <w:rPr>
          <w:lang w:eastAsia="zh-CN"/>
        </w:rPr>
        <w:t>纪律和监督</w:t>
      </w:r>
    </w:p>
    <w:p w14:paraId="259047D4">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w:t>
      </w:r>
      <w:r>
        <w:rPr>
          <w:rFonts w:hint="eastAsia" w:ascii="仿宋_GB2312" w:hAnsi="仿宋_GB2312" w:eastAsia="仿宋_GB2312"/>
          <w:sz w:val="28"/>
          <w:lang w:eastAsia="zh-CN"/>
        </w:rPr>
        <w:t xml:space="preserve"> </w:t>
      </w:r>
      <w:r>
        <w:rPr>
          <w:rFonts w:ascii="仿宋_GB2312" w:hAnsi="仿宋_GB2312" w:eastAsia="仿宋_GB2312"/>
          <w:sz w:val="28"/>
          <w:lang w:eastAsia="zh-CN"/>
        </w:rPr>
        <w:t>对比选人的纪律要求</w:t>
      </w:r>
    </w:p>
    <w:p w14:paraId="2B20516E">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比选人对比选申请人资格条件的要求应当合法合理，不得排斥比选申请人之间的竞争。</w:t>
      </w:r>
    </w:p>
    <w:p w14:paraId="11E0B265">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比选人制定的评比标准和方法应当符合实际需要，不得针对某个比选申请人量体裁衣，制定特殊评比标准和方法。</w:t>
      </w:r>
    </w:p>
    <w:p w14:paraId="74288077">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3.7.1.3</w:t>
      </w:r>
      <w:r>
        <w:rPr>
          <w:rFonts w:hint="eastAsia" w:ascii="仿宋_GB2312" w:hAnsi="仿宋_GB2312" w:eastAsia="仿宋_GB2312"/>
          <w:sz w:val="28"/>
          <w:lang w:eastAsia="zh-CN"/>
        </w:rPr>
        <w:t xml:space="preserve"> </w:t>
      </w:r>
      <w:r>
        <w:rPr>
          <w:rFonts w:ascii="仿宋_GB2312" w:hAnsi="仿宋_GB2312" w:eastAsia="仿宋_GB2312"/>
          <w:sz w:val="28"/>
          <w:lang w:eastAsia="zh-CN"/>
        </w:rPr>
        <w:t>在评比的过程中，比选人代表对所有比选申请人应当一视同仁，不得采用明示或暗示的手段操纵比选活动。</w:t>
      </w:r>
    </w:p>
    <w:p w14:paraId="50D542C6">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3.7.1.4</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比选人不得泄露比选活动中应当保密的情况和资料，不得与比选申请人串通损害国家利益、社会利益或者其他比选申请人的合法权益。</w:t>
      </w:r>
    </w:p>
    <w:p w14:paraId="206F955A">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3.7.2</w:t>
      </w:r>
      <w:r>
        <w:rPr>
          <w:rFonts w:hint="eastAsia" w:ascii="仿宋_GB2312" w:hAnsi="仿宋_GB2312" w:eastAsia="仿宋_GB2312"/>
          <w:sz w:val="28"/>
          <w:lang w:eastAsia="zh-CN"/>
        </w:rPr>
        <w:t xml:space="preserve"> </w:t>
      </w:r>
      <w:r>
        <w:rPr>
          <w:rFonts w:ascii="仿宋_GB2312" w:hAnsi="仿宋_GB2312" w:eastAsia="仿宋_GB2312"/>
          <w:sz w:val="28"/>
          <w:lang w:eastAsia="zh-CN"/>
        </w:rPr>
        <w:t>对比选申请人的纪律要求。</w:t>
      </w:r>
    </w:p>
    <w:p w14:paraId="73C154FD">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3.7.2.1</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比选申请人编制比选申请文件应当实事求是，不得弄虚作假骗取中标，也不得以他人名义参加比选。</w:t>
      </w:r>
    </w:p>
    <w:p w14:paraId="5AE6700F">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3.7.2.2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比选申请人不得相互串通或者与比选人串通参加比选。</w:t>
      </w:r>
    </w:p>
    <w:p w14:paraId="5565DCEB">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3.7.2.3</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比选申请人不得采用向比选人或评比委员会成员行贿等手段谋取中标。</w:t>
      </w:r>
    </w:p>
    <w:p w14:paraId="3FD90BAC">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3.7.2.4</w:t>
      </w:r>
      <w:r>
        <w:rPr>
          <w:rFonts w:hint="eastAsia" w:ascii="仿宋_GB2312" w:hAnsi="仿宋_GB2312" w:eastAsia="仿宋_GB2312"/>
          <w:sz w:val="28"/>
          <w:lang w:eastAsia="zh-CN"/>
        </w:rPr>
        <w:t xml:space="preserve"> </w:t>
      </w:r>
      <w:r>
        <w:rPr>
          <w:rFonts w:ascii="仿宋_GB2312" w:hAnsi="仿宋_GB2312" w:eastAsia="仿宋_GB2312"/>
          <w:sz w:val="28"/>
          <w:lang w:eastAsia="zh-CN"/>
        </w:rPr>
        <w:t>比选申请人不得以任何方式干扰和影响比选工作。</w:t>
      </w:r>
    </w:p>
    <w:p w14:paraId="04A19955">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w:t>
      </w:r>
      <w:r>
        <w:rPr>
          <w:rFonts w:hint="eastAsia" w:ascii="仿宋_GB2312" w:hAnsi="仿宋_GB2312" w:eastAsia="仿宋_GB2312"/>
          <w:sz w:val="28"/>
          <w:lang w:eastAsia="zh-CN"/>
        </w:rPr>
        <w:t xml:space="preserve"> </w:t>
      </w:r>
      <w:r>
        <w:rPr>
          <w:rFonts w:ascii="仿宋_GB2312" w:hAnsi="仿宋_GB2312" w:eastAsia="仿宋_GB2312"/>
          <w:sz w:val="28"/>
          <w:lang w:eastAsia="zh-CN"/>
        </w:rPr>
        <w:t>对评比委员会成员的纪律要求</w:t>
      </w:r>
    </w:p>
    <w:p w14:paraId="46840F2C">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3.7.3.1</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评比委员会成员独立评审，不受其他任何评比委员会成员的干扰。</w:t>
      </w:r>
    </w:p>
    <w:p w14:paraId="5346D4CA">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3.7.3.2</w:t>
      </w:r>
      <w:r>
        <w:rPr>
          <w:rFonts w:hint="eastAsia" w:ascii="仿宋_GB2312" w:hAnsi="仿宋_GB2312" w:eastAsia="仿宋_GB2312"/>
          <w:sz w:val="28"/>
          <w:lang w:eastAsia="zh-CN"/>
        </w:rPr>
        <w:t xml:space="preserve"> </w:t>
      </w:r>
      <w:r>
        <w:rPr>
          <w:rFonts w:ascii="仿宋_GB2312" w:hAnsi="仿宋_GB2312" w:eastAsia="仿宋_GB2312"/>
          <w:sz w:val="28"/>
          <w:lang w:eastAsia="zh-CN"/>
        </w:rPr>
        <w:t>在评比过程中，评比委员会成员必须按照比选文件第 4 章规定的评标标准和方法进行评比，比选文件第 4 章没有规定的评比标准和方法不得使用。</w:t>
      </w:r>
    </w:p>
    <w:p w14:paraId="5F5E2000">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3.7.3.3</w:t>
      </w:r>
      <w:r>
        <w:rPr>
          <w:rFonts w:hint="eastAsia" w:ascii="仿宋_GB2312" w:hAnsi="仿宋_GB2312" w:eastAsia="仿宋_GB2312"/>
          <w:sz w:val="28"/>
          <w:lang w:eastAsia="zh-CN"/>
        </w:rPr>
        <w:t xml:space="preserve"> </w:t>
      </w:r>
      <w:r>
        <w:rPr>
          <w:rFonts w:ascii="仿宋_GB2312" w:hAnsi="仿宋_GB2312" w:eastAsia="仿宋_GB2312"/>
          <w:sz w:val="28"/>
          <w:lang w:eastAsia="zh-CN"/>
        </w:rPr>
        <w:t>在评比过程中，评比委员会成员不得擅离职守，影响评比工作的正常进行。</w:t>
      </w:r>
    </w:p>
    <w:p w14:paraId="38FE78F1">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3.7.3.4</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评比委员会成员不得收受他人的财务和其它好处，不得影响公正的评审。</w:t>
      </w:r>
    </w:p>
    <w:p w14:paraId="15728055">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lang w:eastAsia="zh-CN"/>
        </w:rPr>
        <w:t>3.7.3.5</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评比委员会成员不得向他人透露对比选申请文件的评审、比较和中选人的推荐情况以及与评比有关的其他情况。</w:t>
      </w:r>
    </w:p>
    <w:p w14:paraId="64B1FAFE">
      <w:pPr>
        <w:rPr>
          <w:lang w:eastAsia="zh-CN"/>
        </w:rPr>
      </w:pPr>
      <w:r>
        <w:rPr>
          <w:lang w:eastAsia="zh-CN"/>
        </w:rPr>
        <w:br w:type="page"/>
      </w:r>
    </w:p>
    <w:p w14:paraId="1AF6D25E">
      <w:pPr>
        <w:pStyle w:val="15"/>
        <w:ind w:left="440"/>
        <w:rPr>
          <w:lang w:eastAsia="zh-CN"/>
        </w:rPr>
      </w:pPr>
    </w:p>
    <w:p w14:paraId="09F12FCD">
      <w:pPr>
        <w:pStyle w:val="2"/>
        <w:rPr>
          <w:lang w:eastAsia="zh-CN"/>
        </w:rPr>
      </w:pPr>
      <w:r>
        <w:rPr>
          <w:lang w:eastAsia="zh-CN"/>
        </w:rPr>
        <w:t>评比标准和方法</w:t>
      </w:r>
    </w:p>
    <w:p w14:paraId="04C3822D">
      <w:pPr>
        <w:rPr>
          <w:lang w:eastAsia="zh-CN"/>
        </w:rPr>
      </w:pPr>
    </w:p>
    <w:p w14:paraId="5B659C63">
      <w:pPr>
        <w:pStyle w:val="3"/>
        <w:ind w:left="1235" w:leftChars="0" w:firstLineChars="0"/>
        <w:rPr>
          <w:lang w:eastAsia="zh-CN"/>
        </w:rPr>
      </w:pPr>
      <w:r>
        <w:rPr>
          <w:rFonts w:hint="eastAsia"/>
          <w:lang w:eastAsia="zh-CN"/>
        </w:rPr>
        <w:t>评比方法</w:t>
      </w:r>
    </w:p>
    <w:p w14:paraId="642D69F7">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本项目采用综合评分法，评比委员会首先进行初步评审，对满足比选文件实质性要求的比选申请文件，按照本章规定的评分标准和方法进行打分，并按照得分由高到低进行排序。</w:t>
      </w:r>
    </w:p>
    <w:p w14:paraId="3D470711">
      <w:pPr>
        <w:pStyle w:val="3"/>
        <w:ind w:left="1235" w:leftChars="0" w:firstLineChars="0"/>
        <w:rPr>
          <w:lang w:eastAsia="zh-CN"/>
        </w:rPr>
      </w:pPr>
      <w:r>
        <w:rPr>
          <w:lang w:eastAsia="zh-CN"/>
        </w:rPr>
        <w:t>评标标准</w:t>
      </w:r>
    </w:p>
    <w:p w14:paraId="68E6E4F3">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4.2.1初步评审标准（符合性审查标准）</w:t>
      </w:r>
    </w:p>
    <w:tbl>
      <w:tblPr>
        <w:tblStyle w:val="16"/>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8"/>
        <w:gridCol w:w="2291"/>
        <w:gridCol w:w="4338"/>
        <w:gridCol w:w="1385"/>
      </w:tblGrid>
      <w:tr w14:paraId="608F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28" w:type="dxa"/>
            <w:vAlign w:val="center"/>
          </w:tcPr>
          <w:p w14:paraId="7CEA2CF1">
            <w:pPr>
              <w:pStyle w:val="19"/>
              <w:jc w:val="center"/>
              <w:rPr>
                <w:rFonts w:ascii="Times New Roman" w:hAnsi="Times New Roman" w:cs="Times New Roman"/>
                <w:sz w:val="24"/>
                <w:szCs w:val="24"/>
              </w:rPr>
            </w:pPr>
            <w:r>
              <w:rPr>
                <w:rFonts w:ascii="Times New Roman" w:hAnsi="Times New Roman" w:cs="Times New Roman"/>
                <w:sz w:val="24"/>
                <w:szCs w:val="24"/>
              </w:rPr>
              <w:t>序号</w:t>
            </w:r>
          </w:p>
        </w:tc>
        <w:tc>
          <w:tcPr>
            <w:tcW w:w="2291" w:type="dxa"/>
            <w:vAlign w:val="center"/>
          </w:tcPr>
          <w:p w14:paraId="3ECB249E">
            <w:pPr>
              <w:pStyle w:val="19"/>
              <w:jc w:val="center"/>
              <w:rPr>
                <w:rFonts w:ascii="Times New Roman" w:hAnsi="Times New Roman" w:cs="Times New Roman"/>
                <w:sz w:val="24"/>
                <w:szCs w:val="24"/>
              </w:rPr>
            </w:pPr>
            <w:r>
              <w:rPr>
                <w:rFonts w:ascii="Times New Roman" w:hAnsi="Times New Roman" w:cs="Times New Roman"/>
                <w:sz w:val="24"/>
                <w:szCs w:val="24"/>
              </w:rPr>
              <w:t>审查内容</w:t>
            </w:r>
          </w:p>
        </w:tc>
        <w:tc>
          <w:tcPr>
            <w:tcW w:w="4338" w:type="dxa"/>
            <w:vAlign w:val="center"/>
          </w:tcPr>
          <w:p w14:paraId="1248A009">
            <w:pPr>
              <w:pStyle w:val="19"/>
              <w:jc w:val="center"/>
              <w:rPr>
                <w:rFonts w:ascii="Times New Roman" w:hAnsi="Times New Roman" w:cs="Times New Roman"/>
                <w:sz w:val="24"/>
                <w:szCs w:val="24"/>
              </w:rPr>
            </w:pPr>
            <w:r>
              <w:rPr>
                <w:rFonts w:ascii="Times New Roman" w:hAnsi="Times New Roman" w:cs="Times New Roman"/>
                <w:sz w:val="24"/>
                <w:szCs w:val="24"/>
              </w:rPr>
              <w:t>合格标准</w:t>
            </w:r>
          </w:p>
        </w:tc>
        <w:tc>
          <w:tcPr>
            <w:tcW w:w="1385" w:type="dxa"/>
            <w:vAlign w:val="center"/>
          </w:tcPr>
          <w:p w14:paraId="07303C8F">
            <w:pPr>
              <w:pStyle w:val="19"/>
              <w:jc w:val="center"/>
              <w:rPr>
                <w:rFonts w:ascii="Times New Roman" w:hAnsi="Times New Roman" w:cs="Times New Roman"/>
                <w:sz w:val="24"/>
                <w:szCs w:val="24"/>
              </w:rPr>
            </w:pPr>
            <w:r>
              <w:rPr>
                <w:rFonts w:ascii="Times New Roman" w:hAnsi="Times New Roman" w:cs="Times New Roman"/>
                <w:sz w:val="24"/>
                <w:szCs w:val="24"/>
              </w:rPr>
              <w:t>备注</w:t>
            </w:r>
          </w:p>
        </w:tc>
      </w:tr>
      <w:tr w14:paraId="6937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jc w:val="center"/>
        </w:trPr>
        <w:tc>
          <w:tcPr>
            <w:tcW w:w="828" w:type="dxa"/>
            <w:vAlign w:val="center"/>
          </w:tcPr>
          <w:p w14:paraId="0D3AF8C6">
            <w:pPr>
              <w:pStyle w:val="19"/>
              <w:jc w:val="center"/>
              <w:rPr>
                <w:rFonts w:ascii="Times New Roman" w:hAnsi="Times New Roman" w:cs="Times New Roman"/>
                <w:sz w:val="24"/>
                <w:szCs w:val="24"/>
              </w:rPr>
            </w:pPr>
            <w:r>
              <w:rPr>
                <w:rFonts w:ascii="Times New Roman" w:hAnsi="Times New Roman" w:cs="Times New Roman"/>
                <w:w w:val="99"/>
                <w:sz w:val="24"/>
                <w:szCs w:val="24"/>
              </w:rPr>
              <w:t>1</w:t>
            </w:r>
          </w:p>
        </w:tc>
        <w:tc>
          <w:tcPr>
            <w:tcW w:w="2291" w:type="dxa"/>
            <w:vAlign w:val="center"/>
          </w:tcPr>
          <w:p w14:paraId="2A666E1E">
            <w:pPr>
              <w:pStyle w:val="19"/>
              <w:jc w:val="center"/>
              <w:rPr>
                <w:rFonts w:ascii="Times New Roman" w:hAnsi="Times New Roman" w:cs="Times New Roman"/>
                <w:sz w:val="24"/>
                <w:szCs w:val="24"/>
              </w:rPr>
            </w:pPr>
            <w:r>
              <w:rPr>
                <w:rFonts w:ascii="Times New Roman" w:hAnsi="Times New Roman" w:cs="Times New Roman"/>
                <w:sz w:val="24"/>
                <w:szCs w:val="24"/>
              </w:rPr>
              <w:t>营业执照及资质证书</w:t>
            </w:r>
          </w:p>
        </w:tc>
        <w:tc>
          <w:tcPr>
            <w:tcW w:w="4338" w:type="dxa"/>
            <w:vAlign w:val="center"/>
          </w:tcPr>
          <w:p w14:paraId="369B327E">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具备独立法人资格,具有有效的营业执照或事业单位法人证书；具有交通运输部工程质量监 督局核发的水运工程结构甲级资质、省级或省级以上质量技术监督行政管理部门颁发的计量认证证书</w:t>
            </w:r>
          </w:p>
        </w:tc>
        <w:tc>
          <w:tcPr>
            <w:tcW w:w="1385" w:type="dxa"/>
            <w:vMerge w:val="restart"/>
            <w:vAlign w:val="center"/>
          </w:tcPr>
          <w:p w14:paraId="7AECCB16">
            <w:pPr>
              <w:pStyle w:val="19"/>
              <w:jc w:val="center"/>
              <w:rPr>
                <w:rFonts w:ascii="Times New Roman" w:hAnsi="Times New Roman" w:cs="Times New Roman"/>
                <w:sz w:val="24"/>
                <w:szCs w:val="24"/>
                <w:lang w:eastAsia="zh-CN"/>
              </w:rPr>
            </w:pPr>
            <w:r>
              <w:rPr>
                <w:rFonts w:ascii="Times New Roman" w:hAnsi="Times New Roman" w:cs="Times New Roman"/>
                <w:spacing w:val="22"/>
                <w:sz w:val="24"/>
                <w:szCs w:val="24"/>
                <w:lang w:eastAsia="zh-CN"/>
              </w:rPr>
              <w:t>正在办理年检的证件需要出示企业所在地相应主管部门的证明文件的</w:t>
            </w:r>
            <w:r>
              <w:rPr>
                <w:rFonts w:ascii="Times New Roman" w:hAnsi="Times New Roman" w:cs="Times New Roman"/>
                <w:sz w:val="24"/>
                <w:szCs w:val="24"/>
                <w:lang w:eastAsia="zh-CN"/>
              </w:rPr>
              <w:t>原件扫描件</w:t>
            </w:r>
          </w:p>
        </w:tc>
      </w:tr>
      <w:tr w14:paraId="5B64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28" w:type="dxa"/>
            <w:vAlign w:val="center"/>
          </w:tcPr>
          <w:p w14:paraId="231E50DA">
            <w:pPr>
              <w:pStyle w:val="19"/>
              <w:jc w:val="center"/>
              <w:rPr>
                <w:rFonts w:ascii="Times New Roman" w:hAnsi="Times New Roman" w:cs="Times New Roman"/>
                <w:sz w:val="24"/>
                <w:szCs w:val="24"/>
              </w:rPr>
            </w:pPr>
            <w:r>
              <w:rPr>
                <w:rFonts w:ascii="Times New Roman" w:hAnsi="Times New Roman" w:cs="Times New Roman"/>
                <w:w w:val="99"/>
                <w:sz w:val="24"/>
                <w:szCs w:val="24"/>
              </w:rPr>
              <w:t>2</w:t>
            </w:r>
          </w:p>
        </w:tc>
        <w:tc>
          <w:tcPr>
            <w:tcW w:w="2291" w:type="dxa"/>
            <w:vAlign w:val="center"/>
          </w:tcPr>
          <w:p w14:paraId="5D1077E3">
            <w:pPr>
              <w:pStyle w:val="19"/>
              <w:jc w:val="center"/>
              <w:rPr>
                <w:rFonts w:ascii="Times New Roman" w:hAnsi="Times New Roman" w:cs="Times New Roman"/>
                <w:sz w:val="24"/>
                <w:szCs w:val="24"/>
              </w:rPr>
            </w:pPr>
            <w:r>
              <w:rPr>
                <w:rFonts w:ascii="Times New Roman" w:hAnsi="Times New Roman" w:cs="Times New Roman"/>
                <w:sz w:val="24"/>
                <w:szCs w:val="24"/>
              </w:rPr>
              <w:t>企业业绩</w:t>
            </w:r>
          </w:p>
        </w:tc>
        <w:tc>
          <w:tcPr>
            <w:tcW w:w="4338" w:type="dxa"/>
            <w:vAlign w:val="center"/>
          </w:tcPr>
          <w:p w14:paraId="5BD41E3F">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提供合同、中标通知书（如有）</w:t>
            </w:r>
          </w:p>
        </w:tc>
        <w:tc>
          <w:tcPr>
            <w:tcW w:w="1385" w:type="dxa"/>
            <w:vMerge w:val="continue"/>
            <w:vAlign w:val="center"/>
          </w:tcPr>
          <w:p w14:paraId="73994E78">
            <w:pPr>
              <w:jc w:val="center"/>
              <w:rPr>
                <w:rFonts w:ascii="Times New Roman" w:hAnsi="Times New Roman" w:cs="Times New Roman"/>
                <w:sz w:val="24"/>
                <w:szCs w:val="24"/>
                <w:lang w:eastAsia="zh-CN"/>
              </w:rPr>
            </w:pPr>
          </w:p>
        </w:tc>
      </w:tr>
      <w:tr w14:paraId="5BD0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jc w:val="center"/>
        </w:trPr>
        <w:tc>
          <w:tcPr>
            <w:tcW w:w="828" w:type="dxa"/>
            <w:vAlign w:val="center"/>
          </w:tcPr>
          <w:p w14:paraId="320D5795">
            <w:pPr>
              <w:pStyle w:val="19"/>
              <w:jc w:val="center"/>
              <w:rPr>
                <w:rFonts w:ascii="Times New Roman" w:hAnsi="Times New Roman" w:cs="Times New Roman"/>
                <w:sz w:val="24"/>
                <w:szCs w:val="24"/>
              </w:rPr>
            </w:pPr>
            <w:r>
              <w:rPr>
                <w:rFonts w:ascii="Times New Roman" w:hAnsi="Times New Roman" w:cs="Times New Roman"/>
                <w:w w:val="99"/>
                <w:sz w:val="24"/>
                <w:szCs w:val="24"/>
              </w:rPr>
              <w:t>3</w:t>
            </w:r>
          </w:p>
        </w:tc>
        <w:tc>
          <w:tcPr>
            <w:tcW w:w="2291" w:type="dxa"/>
            <w:vAlign w:val="center"/>
          </w:tcPr>
          <w:p w14:paraId="44E5BF9A">
            <w:pPr>
              <w:pStyle w:val="19"/>
              <w:jc w:val="center"/>
              <w:rPr>
                <w:rFonts w:ascii="Times New Roman" w:hAnsi="Times New Roman" w:cs="Times New Roman"/>
                <w:sz w:val="24"/>
                <w:szCs w:val="24"/>
              </w:rPr>
            </w:pPr>
            <w:r>
              <w:rPr>
                <w:rFonts w:ascii="Times New Roman" w:hAnsi="Times New Roman" w:cs="Times New Roman"/>
                <w:sz w:val="24"/>
                <w:szCs w:val="24"/>
              </w:rPr>
              <w:t>项目负责人</w:t>
            </w:r>
          </w:p>
        </w:tc>
        <w:tc>
          <w:tcPr>
            <w:tcW w:w="4338" w:type="dxa"/>
            <w:vAlign w:val="center"/>
          </w:tcPr>
          <w:p w14:paraId="3CF453EF">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须具备高级工程师及以上职称，具备有效的试验检测师证书（结构或水运结构与地基）</w:t>
            </w:r>
          </w:p>
        </w:tc>
        <w:tc>
          <w:tcPr>
            <w:tcW w:w="1385" w:type="dxa"/>
            <w:vMerge w:val="continue"/>
            <w:vAlign w:val="center"/>
          </w:tcPr>
          <w:p w14:paraId="0444BB43">
            <w:pPr>
              <w:jc w:val="center"/>
              <w:rPr>
                <w:rFonts w:ascii="Times New Roman" w:hAnsi="Times New Roman" w:cs="Times New Roman"/>
                <w:sz w:val="24"/>
                <w:szCs w:val="24"/>
                <w:lang w:eastAsia="zh-CN"/>
              </w:rPr>
            </w:pPr>
          </w:p>
        </w:tc>
      </w:tr>
      <w:tr w14:paraId="1341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jc w:val="center"/>
        </w:trPr>
        <w:tc>
          <w:tcPr>
            <w:tcW w:w="828" w:type="dxa"/>
            <w:vAlign w:val="center"/>
          </w:tcPr>
          <w:p w14:paraId="7240000A">
            <w:pPr>
              <w:pStyle w:val="19"/>
              <w:jc w:val="center"/>
              <w:rPr>
                <w:rFonts w:ascii="Times New Roman" w:hAnsi="Times New Roman" w:cs="Times New Roman"/>
                <w:sz w:val="24"/>
                <w:szCs w:val="24"/>
              </w:rPr>
            </w:pPr>
            <w:r>
              <w:rPr>
                <w:rFonts w:ascii="Times New Roman" w:hAnsi="Times New Roman" w:cs="Times New Roman"/>
                <w:w w:val="99"/>
                <w:sz w:val="24"/>
                <w:szCs w:val="24"/>
              </w:rPr>
              <w:t>4</w:t>
            </w:r>
          </w:p>
        </w:tc>
        <w:tc>
          <w:tcPr>
            <w:tcW w:w="2291" w:type="dxa"/>
            <w:vAlign w:val="center"/>
          </w:tcPr>
          <w:p w14:paraId="1C4E774C">
            <w:pPr>
              <w:pStyle w:val="19"/>
              <w:jc w:val="center"/>
              <w:rPr>
                <w:rFonts w:ascii="Times New Roman" w:hAnsi="Times New Roman" w:cs="Times New Roman"/>
                <w:sz w:val="24"/>
                <w:szCs w:val="24"/>
              </w:rPr>
            </w:pPr>
            <w:r>
              <w:rPr>
                <w:rFonts w:ascii="Times New Roman" w:hAnsi="Times New Roman" w:cs="Times New Roman"/>
                <w:sz w:val="24"/>
                <w:szCs w:val="24"/>
              </w:rPr>
              <w:t>信用中国</w:t>
            </w:r>
          </w:p>
        </w:tc>
        <w:tc>
          <w:tcPr>
            <w:tcW w:w="4338" w:type="dxa"/>
            <w:vAlign w:val="center"/>
          </w:tcPr>
          <w:p w14:paraId="0943553C">
            <w:pPr>
              <w:pStyle w:val="19"/>
              <w:jc w:val="center"/>
              <w:rPr>
                <w:rFonts w:ascii="Times New Roman" w:hAnsi="Times New Roman" w:cs="Times New Roman"/>
                <w:sz w:val="24"/>
                <w:szCs w:val="24"/>
              </w:rPr>
            </w:pPr>
            <w:r>
              <w:rPr>
                <w:rFonts w:ascii="Times New Roman" w:hAnsi="Times New Roman" w:cs="Times New Roman"/>
                <w:sz w:val="24"/>
                <w:szCs w:val="24"/>
              </w:rPr>
              <w:t>提供信用中国截图</w:t>
            </w:r>
          </w:p>
        </w:tc>
        <w:tc>
          <w:tcPr>
            <w:tcW w:w="1385" w:type="dxa"/>
            <w:vMerge w:val="continue"/>
            <w:vAlign w:val="center"/>
          </w:tcPr>
          <w:p w14:paraId="7729A23B">
            <w:pPr>
              <w:jc w:val="center"/>
              <w:rPr>
                <w:rFonts w:ascii="Times New Roman" w:hAnsi="Times New Roman" w:cs="Times New Roman"/>
                <w:sz w:val="24"/>
                <w:szCs w:val="24"/>
              </w:rPr>
            </w:pPr>
          </w:p>
        </w:tc>
      </w:tr>
      <w:tr w14:paraId="4AFD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0" w:hRule="atLeast"/>
          <w:jc w:val="center"/>
        </w:trPr>
        <w:tc>
          <w:tcPr>
            <w:tcW w:w="828" w:type="dxa"/>
            <w:vAlign w:val="center"/>
          </w:tcPr>
          <w:p w14:paraId="57462E9F">
            <w:pPr>
              <w:pStyle w:val="19"/>
              <w:jc w:val="center"/>
              <w:rPr>
                <w:rFonts w:ascii="Times New Roman" w:hAnsi="Times New Roman" w:cs="Times New Roman"/>
                <w:sz w:val="24"/>
                <w:szCs w:val="24"/>
              </w:rPr>
            </w:pPr>
            <w:r>
              <w:rPr>
                <w:rFonts w:ascii="Times New Roman" w:hAnsi="Times New Roman" w:cs="Times New Roman"/>
                <w:w w:val="99"/>
                <w:sz w:val="24"/>
                <w:szCs w:val="24"/>
              </w:rPr>
              <w:t>5</w:t>
            </w:r>
          </w:p>
        </w:tc>
        <w:tc>
          <w:tcPr>
            <w:tcW w:w="2291" w:type="dxa"/>
            <w:vAlign w:val="center"/>
          </w:tcPr>
          <w:p w14:paraId="3A776207">
            <w:pPr>
              <w:pStyle w:val="19"/>
              <w:jc w:val="center"/>
              <w:rPr>
                <w:rFonts w:ascii="Times New Roman" w:hAnsi="Times New Roman" w:cs="Times New Roman"/>
                <w:sz w:val="24"/>
                <w:szCs w:val="24"/>
                <w:lang w:eastAsia="zh-CN"/>
              </w:rPr>
            </w:pPr>
            <w:r>
              <w:rPr>
                <w:rFonts w:ascii="Times New Roman" w:hAnsi="Times New Roman" w:cs="Times New Roman"/>
                <w:spacing w:val="19"/>
                <w:sz w:val="24"/>
                <w:szCs w:val="24"/>
                <w:lang w:eastAsia="zh-CN"/>
              </w:rPr>
              <w:t>项目负责人的养老保</w:t>
            </w:r>
            <w:r>
              <w:rPr>
                <w:rFonts w:ascii="Times New Roman" w:hAnsi="Times New Roman" w:cs="Times New Roman"/>
                <w:sz w:val="24"/>
                <w:szCs w:val="24"/>
                <w:lang w:eastAsia="zh-CN"/>
              </w:rPr>
              <w:t>险缴纳证明及要求</w:t>
            </w:r>
          </w:p>
        </w:tc>
        <w:tc>
          <w:tcPr>
            <w:tcW w:w="4338" w:type="dxa"/>
            <w:vAlign w:val="center"/>
          </w:tcPr>
          <w:p w14:paraId="10F87F56">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 xml:space="preserve">2023 年 </w:t>
            </w:r>
            <w:r>
              <w:rPr>
                <w:rFonts w:hint="eastAsia" w:ascii="Times New Roman" w:hAnsi="Times New Roman" w:cs="Times New Roman"/>
                <w:sz w:val="24"/>
                <w:szCs w:val="24"/>
                <w:highlight w:val="none"/>
                <w:lang w:val="en-US" w:eastAsia="zh-CN"/>
              </w:rPr>
              <w:t>9</w:t>
            </w:r>
            <w:r>
              <w:rPr>
                <w:rFonts w:ascii="Times New Roman" w:hAnsi="Times New Roman" w:cs="Times New Roman"/>
                <w:sz w:val="24"/>
                <w:szCs w:val="24"/>
                <w:lang w:eastAsia="zh-CN"/>
              </w:rPr>
              <w:t xml:space="preserve"> 月至今任意 6 个月本单位为其缴纳养老保险的有效证明材料。养老保险证明是指社会统筹保险基金管理部门出具的基本养老 保险对账单或加盖社会统筹保险基金管理部 门公章的单位缴费明细；养老保险证明应至少体现以下内容：缴纳保险单位名称、人员姓名、缴费期限等。</w:t>
            </w:r>
          </w:p>
        </w:tc>
        <w:tc>
          <w:tcPr>
            <w:tcW w:w="1385" w:type="dxa"/>
            <w:vMerge w:val="continue"/>
            <w:vAlign w:val="center"/>
          </w:tcPr>
          <w:p w14:paraId="2839C316">
            <w:pPr>
              <w:jc w:val="center"/>
              <w:rPr>
                <w:rFonts w:ascii="Times New Roman" w:hAnsi="Times New Roman" w:cs="Times New Roman"/>
                <w:sz w:val="24"/>
                <w:szCs w:val="24"/>
                <w:lang w:eastAsia="zh-CN"/>
              </w:rPr>
            </w:pPr>
          </w:p>
        </w:tc>
      </w:tr>
    </w:tbl>
    <w:p w14:paraId="09EDEAAE">
      <w:pPr>
        <w:pStyle w:val="15"/>
        <w:ind w:left="0" w:leftChars="0" w:firstLine="0" w:firstLineChars="0"/>
        <w:rPr>
          <w:rFonts w:ascii="仿宋_GB2312" w:hAnsi="仿宋_GB2312" w:eastAsia="仿宋_GB2312"/>
          <w:b/>
          <w:bCs/>
          <w:sz w:val="28"/>
          <w:lang w:eastAsia="zh-CN"/>
        </w:rPr>
      </w:pPr>
      <w:r>
        <w:rPr>
          <w:rFonts w:ascii="仿宋_GB2312" w:hAnsi="仿宋_GB2312" w:eastAsia="仿宋_GB2312"/>
          <w:b/>
          <w:bCs/>
          <w:sz w:val="28"/>
          <w:lang w:eastAsia="zh-CN"/>
        </w:rPr>
        <w:t>注：以上资料需提供原件扫描件</w:t>
      </w:r>
    </w:p>
    <w:p w14:paraId="0750C58B">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4.2.2</w:t>
      </w:r>
      <w:r>
        <w:rPr>
          <w:rFonts w:hint="eastAsia" w:ascii="仿宋_GB2312" w:hAnsi="仿宋_GB2312" w:eastAsia="仿宋_GB2312"/>
          <w:sz w:val="28"/>
          <w:lang w:eastAsia="zh-CN"/>
        </w:rPr>
        <w:t xml:space="preserve"> </w:t>
      </w:r>
      <w:r>
        <w:rPr>
          <w:rFonts w:ascii="仿宋_GB2312" w:hAnsi="仿宋_GB2312" w:eastAsia="仿宋_GB2312"/>
          <w:sz w:val="28"/>
          <w:lang w:eastAsia="zh-CN"/>
        </w:rPr>
        <w:t>评分标准</w:t>
      </w:r>
    </w:p>
    <w:p w14:paraId="40B71F0B">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 xml:space="preserve">1、评标办法：综合评分按百分制 100 分计算，其中比选报价评审得分为 </w:t>
      </w:r>
      <w:r>
        <w:rPr>
          <w:rFonts w:hint="eastAsia" w:ascii="仿宋_GB2312" w:hAnsi="仿宋_GB2312" w:eastAsia="仿宋_GB2312"/>
          <w:sz w:val="28"/>
          <w:lang w:eastAsia="zh-CN"/>
        </w:rPr>
        <w:t>45</w:t>
      </w:r>
      <w:r>
        <w:rPr>
          <w:rFonts w:ascii="仿宋_GB2312" w:hAnsi="仿宋_GB2312" w:eastAsia="仿宋_GB2312"/>
          <w:sz w:val="28"/>
          <w:lang w:eastAsia="zh-CN"/>
        </w:rPr>
        <w:t xml:space="preserve"> 分，技术方案评审得分为 </w:t>
      </w:r>
      <w:r>
        <w:rPr>
          <w:rFonts w:hint="eastAsia" w:ascii="仿宋_GB2312" w:hAnsi="仿宋_GB2312" w:eastAsia="仿宋_GB2312"/>
          <w:sz w:val="28"/>
          <w:lang w:eastAsia="zh-CN"/>
        </w:rPr>
        <w:t>40</w:t>
      </w:r>
      <w:r>
        <w:rPr>
          <w:rFonts w:ascii="仿宋_GB2312" w:hAnsi="仿宋_GB2312" w:eastAsia="仿宋_GB2312"/>
          <w:sz w:val="28"/>
          <w:lang w:eastAsia="zh-CN"/>
        </w:rPr>
        <w:t xml:space="preserve"> 分，综合实力评审 15 分，结果保留两位小数。</w:t>
      </w:r>
    </w:p>
    <w:p w14:paraId="4C2EAFA7">
      <w:pPr>
        <w:spacing w:line="360" w:lineRule="auto"/>
        <w:ind w:firstLine="560" w:firstLineChars="200"/>
        <w:rPr>
          <w:rFonts w:ascii="仿宋_GB2312" w:hAnsi="仿宋_GB2312" w:eastAsia="仿宋_GB2312" w:cs="Calibri"/>
          <w:sz w:val="28"/>
          <w:lang w:eastAsia="zh-CN"/>
        </w:rPr>
      </w:pPr>
      <w:r>
        <w:rPr>
          <w:rFonts w:ascii="仿宋_GB2312" w:hAnsi="仿宋_GB2312" w:eastAsia="仿宋_GB2312" w:cs="Calibri"/>
          <w:sz w:val="28"/>
          <w:lang w:eastAsia="zh-CN"/>
        </w:rPr>
        <w:t xml:space="preserve">本项目设定收费最高限价为： </w:t>
      </w:r>
      <w:r>
        <w:rPr>
          <w:rFonts w:hint="eastAsia" w:ascii="仿宋_GB2312" w:hAnsi="仿宋_GB2312" w:eastAsia="仿宋_GB2312" w:cs="Calibri"/>
          <w:sz w:val="28"/>
          <w:highlight w:val="none"/>
          <w:lang w:eastAsia="zh-CN"/>
        </w:rPr>
        <w:t>86</w:t>
      </w:r>
      <w:r>
        <w:rPr>
          <w:rFonts w:hint="eastAsia" w:ascii="仿宋_GB2312" w:hAnsi="仿宋_GB2312" w:eastAsia="仿宋_GB2312" w:cs="Calibri"/>
          <w:sz w:val="28"/>
          <w:highlight w:val="none"/>
          <w:lang w:val="en-US" w:eastAsia="zh-CN"/>
        </w:rPr>
        <w:t>2120</w:t>
      </w:r>
      <w:r>
        <w:rPr>
          <w:rFonts w:ascii="仿宋_GB2312" w:hAnsi="仿宋_GB2312" w:eastAsia="仿宋_GB2312" w:cs="Calibri"/>
          <w:sz w:val="28"/>
          <w:lang w:eastAsia="zh-CN"/>
        </w:rPr>
        <w:t xml:space="preserve"> 元 ，低于或等于比选控制价的报价为有效报价，超出此比选控制价的报价为无效报价。</w:t>
      </w:r>
    </w:p>
    <w:p w14:paraId="36157E86">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（1）比选报价评审（45 分）</w:t>
      </w:r>
    </w:p>
    <w:p w14:paraId="71A3A0E3">
      <w:pPr>
        <w:spacing w:line="360" w:lineRule="auto"/>
        <w:ind w:firstLine="560" w:firstLineChars="200"/>
        <w:rPr>
          <w:rFonts w:ascii="仿宋_GB2312" w:hAnsi="仿宋_GB2312" w:eastAsia="仿宋_GB2312" w:cs="Calibri"/>
          <w:sz w:val="28"/>
          <w:lang w:eastAsia="zh-CN"/>
        </w:rPr>
      </w:pPr>
      <w:r>
        <w:rPr>
          <w:rFonts w:ascii="仿宋_GB2312" w:hAnsi="仿宋_GB2312" w:eastAsia="仿宋_GB2312" w:cs="Calibri"/>
          <w:sz w:val="28"/>
          <w:lang w:eastAsia="zh-CN"/>
        </w:rPr>
        <w:t>以有效报价的</w:t>
      </w:r>
      <w:r>
        <w:rPr>
          <w:rFonts w:ascii="仿宋_GB2312" w:hAnsi="仿宋_GB2312" w:eastAsia="仿宋_GB2312"/>
          <w:sz w:val="28"/>
          <w:lang w:eastAsia="zh-CN"/>
        </w:rPr>
        <w:t>算术</w:t>
      </w:r>
      <w:r>
        <w:rPr>
          <w:rFonts w:ascii="仿宋_GB2312" w:hAnsi="仿宋_GB2312" w:eastAsia="仿宋_GB2312" w:cs="Calibri"/>
          <w:sz w:val="28"/>
          <w:lang w:eastAsia="zh-CN"/>
        </w:rPr>
        <w:t>平均值为评比基准价。</w:t>
      </w:r>
    </w:p>
    <w:p w14:paraId="2D6005E0">
      <w:pPr>
        <w:spacing w:line="360" w:lineRule="auto"/>
        <w:ind w:firstLine="560" w:firstLineChars="200"/>
        <w:rPr>
          <w:rFonts w:ascii="仿宋_GB2312" w:hAnsi="仿宋_GB2312" w:eastAsia="仿宋_GB2312" w:cs="Calibri"/>
          <w:sz w:val="28"/>
          <w:lang w:eastAsia="zh-CN"/>
        </w:rPr>
      </w:pPr>
      <w:r>
        <w:rPr>
          <w:rFonts w:ascii="仿宋_GB2312" w:hAnsi="仿宋_GB2312" w:eastAsia="仿宋_GB2312" w:cs="Calibri"/>
          <w:sz w:val="28"/>
          <w:lang w:eastAsia="zh-CN"/>
        </w:rPr>
        <w:t>比选报价为</w:t>
      </w:r>
      <w:r>
        <w:rPr>
          <w:rFonts w:ascii="仿宋_GB2312" w:hAnsi="仿宋_GB2312" w:eastAsia="仿宋_GB2312"/>
          <w:sz w:val="28"/>
          <w:lang w:eastAsia="zh-CN"/>
        </w:rPr>
        <w:t>评比</w:t>
      </w:r>
      <w:r>
        <w:rPr>
          <w:rFonts w:ascii="仿宋_GB2312" w:hAnsi="仿宋_GB2312" w:eastAsia="仿宋_GB2312" w:cs="Calibri"/>
          <w:sz w:val="28"/>
          <w:lang w:eastAsia="zh-CN"/>
        </w:rPr>
        <w:t>基准价的得满分 45 分，比选报价每比评标基准价高一个百分点减 0.2 分，低一个百分点减 0.1 分，减完为止。</w:t>
      </w:r>
    </w:p>
    <w:p w14:paraId="57CE1AF2">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（2）技术服务方案评审（40 分）</w:t>
      </w:r>
    </w:p>
    <w:tbl>
      <w:tblPr>
        <w:tblStyle w:val="16"/>
        <w:tblW w:w="84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1"/>
        <w:gridCol w:w="1032"/>
        <w:gridCol w:w="5484"/>
      </w:tblGrid>
      <w:tr w14:paraId="15581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931" w:type="dxa"/>
            <w:vMerge w:val="restart"/>
            <w:vAlign w:val="center"/>
          </w:tcPr>
          <w:p w14:paraId="18EC9513">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监测、检测内容、方法及对策措施</w:t>
            </w:r>
          </w:p>
        </w:tc>
        <w:tc>
          <w:tcPr>
            <w:tcW w:w="1032" w:type="dxa"/>
            <w:vMerge w:val="restart"/>
            <w:vAlign w:val="center"/>
          </w:tcPr>
          <w:p w14:paraId="471FC79A">
            <w:pPr>
              <w:pStyle w:val="19"/>
              <w:jc w:val="center"/>
              <w:rPr>
                <w:rFonts w:ascii="Times New Roman" w:hAnsi="Times New Roman" w:cs="Times New Roman"/>
                <w:sz w:val="24"/>
                <w:szCs w:val="24"/>
              </w:rPr>
            </w:pPr>
            <w:r>
              <w:rPr>
                <w:rFonts w:ascii="Times New Roman" w:hAnsi="Times New Roman" w:cs="Times New Roman"/>
                <w:sz w:val="24"/>
                <w:szCs w:val="24"/>
              </w:rPr>
              <w:t>10分</w:t>
            </w:r>
          </w:p>
        </w:tc>
        <w:tc>
          <w:tcPr>
            <w:tcW w:w="5484" w:type="dxa"/>
          </w:tcPr>
          <w:p w14:paraId="293946A6">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检测方案基本适合本项目，针对性一般，对策基本可行，得6分</w:t>
            </w:r>
          </w:p>
        </w:tc>
      </w:tr>
      <w:tr w14:paraId="0090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31" w:type="dxa"/>
            <w:vMerge w:val="continue"/>
            <w:tcBorders>
              <w:top w:val="nil"/>
            </w:tcBorders>
            <w:vAlign w:val="center"/>
          </w:tcPr>
          <w:p w14:paraId="6E880D76">
            <w:pPr>
              <w:pStyle w:val="19"/>
              <w:jc w:val="center"/>
              <w:rPr>
                <w:rFonts w:ascii="Times New Roman" w:hAnsi="Times New Roman" w:cs="Times New Roman"/>
                <w:sz w:val="24"/>
                <w:szCs w:val="24"/>
                <w:lang w:eastAsia="zh-CN"/>
              </w:rPr>
            </w:pPr>
          </w:p>
        </w:tc>
        <w:tc>
          <w:tcPr>
            <w:tcW w:w="1032" w:type="dxa"/>
            <w:vMerge w:val="continue"/>
            <w:tcBorders>
              <w:top w:val="nil"/>
            </w:tcBorders>
            <w:vAlign w:val="center"/>
          </w:tcPr>
          <w:p w14:paraId="74795509">
            <w:pPr>
              <w:pStyle w:val="19"/>
              <w:jc w:val="center"/>
              <w:rPr>
                <w:rFonts w:ascii="Times New Roman" w:hAnsi="Times New Roman" w:cs="Times New Roman"/>
                <w:sz w:val="24"/>
                <w:szCs w:val="24"/>
                <w:lang w:eastAsia="zh-CN"/>
              </w:rPr>
            </w:pPr>
          </w:p>
        </w:tc>
        <w:tc>
          <w:tcPr>
            <w:tcW w:w="5484" w:type="dxa"/>
          </w:tcPr>
          <w:p w14:paraId="6DC02D22">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检测方案适合本项目，针对性较好，对策一般可行，得6-8分</w:t>
            </w:r>
          </w:p>
        </w:tc>
      </w:tr>
      <w:tr w14:paraId="4F0B6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931" w:type="dxa"/>
            <w:vMerge w:val="continue"/>
            <w:tcBorders>
              <w:top w:val="nil"/>
            </w:tcBorders>
            <w:vAlign w:val="center"/>
          </w:tcPr>
          <w:p w14:paraId="3D420A49">
            <w:pPr>
              <w:pStyle w:val="19"/>
              <w:jc w:val="center"/>
              <w:rPr>
                <w:rFonts w:ascii="Times New Roman" w:hAnsi="Times New Roman" w:cs="Times New Roman"/>
                <w:sz w:val="24"/>
                <w:szCs w:val="24"/>
                <w:lang w:eastAsia="zh-CN"/>
              </w:rPr>
            </w:pPr>
          </w:p>
        </w:tc>
        <w:tc>
          <w:tcPr>
            <w:tcW w:w="1032" w:type="dxa"/>
            <w:vMerge w:val="continue"/>
            <w:tcBorders>
              <w:top w:val="nil"/>
            </w:tcBorders>
            <w:vAlign w:val="center"/>
          </w:tcPr>
          <w:p w14:paraId="29916DA3">
            <w:pPr>
              <w:pStyle w:val="19"/>
              <w:jc w:val="center"/>
              <w:rPr>
                <w:rFonts w:ascii="Times New Roman" w:hAnsi="Times New Roman" w:cs="Times New Roman"/>
                <w:sz w:val="24"/>
                <w:szCs w:val="24"/>
                <w:lang w:eastAsia="zh-CN"/>
              </w:rPr>
            </w:pPr>
          </w:p>
        </w:tc>
        <w:tc>
          <w:tcPr>
            <w:tcW w:w="5484" w:type="dxa"/>
          </w:tcPr>
          <w:p w14:paraId="4B27C05C">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检测方案充分适合本项目，针对性很好，对策有效可行，得8-10分</w:t>
            </w:r>
          </w:p>
        </w:tc>
      </w:tr>
      <w:tr w14:paraId="705C3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31" w:type="dxa"/>
            <w:vMerge w:val="restart"/>
            <w:vAlign w:val="center"/>
          </w:tcPr>
          <w:p w14:paraId="02A6D61F">
            <w:pPr>
              <w:pStyle w:val="19"/>
              <w:jc w:val="center"/>
              <w:rPr>
                <w:rFonts w:ascii="Times New Roman" w:hAnsi="Times New Roman" w:cs="Times New Roman"/>
                <w:sz w:val="24"/>
                <w:szCs w:val="24"/>
              </w:rPr>
            </w:pPr>
            <w:r>
              <w:rPr>
                <w:rFonts w:ascii="Times New Roman" w:hAnsi="Times New Roman" w:cs="Times New Roman"/>
                <w:sz w:val="24"/>
                <w:szCs w:val="24"/>
              </w:rPr>
              <w:t>质量控制</w:t>
            </w:r>
          </w:p>
        </w:tc>
        <w:tc>
          <w:tcPr>
            <w:tcW w:w="1032" w:type="dxa"/>
            <w:vMerge w:val="restart"/>
            <w:vAlign w:val="center"/>
          </w:tcPr>
          <w:p w14:paraId="5571061A">
            <w:pPr>
              <w:pStyle w:val="19"/>
              <w:jc w:val="center"/>
              <w:rPr>
                <w:rFonts w:ascii="Times New Roman" w:hAnsi="Times New Roman" w:cs="Times New Roman"/>
                <w:sz w:val="24"/>
                <w:szCs w:val="24"/>
              </w:rPr>
            </w:pPr>
            <w:r>
              <w:rPr>
                <w:rFonts w:ascii="Times New Roman" w:hAnsi="Times New Roman" w:cs="Times New Roman"/>
                <w:sz w:val="24"/>
                <w:szCs w:val="24"/>
              </w:rPr>
              <w:t>10分</w:t>
            </w:r>
          </w:p>
        </w:tc>
        <w:tc>
          <w:tcPr>
            <w:tcW w:w="5484" w:type="dxa"/>
          </w:tcPr>
          <w:p w14:paraId="6C03FF0B">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质量管理机构、管理程序、管理制度的健全性;质量保证措施的完善性和针对性一般，得6分</w:t>
            </w:r>
          </w:p>
        </w:tc>
      </w:tr>
      <w:tr w14:paraId="7E4B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31" w:type="dxa"/>
            <w:vMerge w:val="continue"/>
            <w:tcBorders>
              <w:top w:val="nil"/>
            </w:tcBorders>
            <w:vAlign w:val="center"/>
          </w:tcPr>
          <w:p w14:paraId="1C3240BA">
            <w:pPr>
              <w:pStyle w:val="19"/>
              <w:jc w:val="center"/>
              <w:rPr>
                <w:rFonts w:ascii="Times New Roman" w:hAnsi="Times New Roman" w:cs="Times New Roman"/>
                <w:sz w:val="24"/>
                <w:szCs w:val="24"/>
                <w:lang w:eastAsia="zh-CN"/>
              </w:rPr>
            </w:pPr>
          </w:p>
        </w:tc>
        <w:tc>
          <w:tcPr>
            <w:tcW w:w="1032" w:type="dxa"/>
            <w:vMerge w:val="continue"/>
            <w:tcBorders>
              <w:top w:val="nil"/>
            </w:tcBorders>
            <w:vAlign w:val="center"/>
          </w:tcPr>
          <w:p w14:paraId="4EE9E255">
            <w:pPr>
              <w:pStyle w:val="19"/>
              <w:jc w:val="center"/>
              <w:rPr>
                <w:rFonts w:ascii="Times New Roman" w:hAnsi="Times New Roman" w:cs="Times New Roman"/>
                <w:sz w:val="24"/>
                <w:szCs w:val="24"/>
                <w:lang w:eastAsia="zh-CN"/>
              </w:rPr>
            </w:pPr>
          </w:p>
        </w:tc>
        <w:tc>
          <w:tcPr>
            <w:tcW w:w="5484" w:type="dxa"/>
          </w:tcPr>
          <w:p w14:paraId="7D9CAAA5">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质量管理机构、管理程序、管理制度的健全性;质量保证措施的完善性和针对性较好，得6-8分</w:t>
            </w:r>
          </w:p>
        </w:tc>
      </w:tr>
      <w:tr w14:paraId="177A3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 w:hRule="atLeast"/>
        </w:trPr>
        <w:tc>
          <w:tcPr>
            <w:tcW w:w="1931" w:type="dxa"/>
            <w:vMerge w:val="continue"/>
            <w:tcBorders>
              <w:top w:val="nil"/>
            </w:tcBorders>
            <w:vAlign w:val="center"/>
          </w:tcPr>
          <w:p w14:paraId="3153A446">
            <w:pPr>
              <w:pStyle w:val="19"/>
              <w:jc w:val="center"/>
              <w:rPr>
                <w:rFonts w:ascii="Times New Roman" w:hAnsi="Times New Roman" w:cs="Times New Roman"/>
                <w:sz w:val="24"/>
                <w:szCs w:val="24"/>
                <w:lang w:eastAsia="zh-CN"/>
              </w:rPr>
            </w:pPr>
          </w:p>
        </w:tc>
        <w:tc>
          <w:tcPr>
            <w:tcW w:w="1032" w:type="dxa"/>
            <w:vMerge w:val="continue"/>
            <w:tcBorders>
              <w:top w:val="nil"/>
            </w:tcBorders>
            <w:vAlign w:val="center"/>
          </w:tcPr>
          <w:p w14:paraId="70D1EEB6">
            <w:pPr>
              <w:pStyle w:val="19"/>
              <w:jc w:val="center"/>
              <w:rPr>
                <w:rFonts w:ascii="Times New Roman" w:hAnsi="Times New Roman" w:cs="Times New Roman"/>
                <w:sz w:val="24"/>
                <w:szCs w:val="24"/>
                <w:lang w:eastAsia="zh-CN"/>
              </w:rPr>
            </w:pPr>
          </w:p>
        </w:tc>
        <w:tc>
          <w:tcPr>
            <w:tcW w:w="5484" w:type="dxa"/>
          </w:tcPr>
          <w:p w14:paraId="40BFC1CA">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质量管理机构、管理程序、管理制度的健全性;质量保证措施的完善性和针对性好，得8-10分</w:t>
            </w:r>
          </w:p>
        </w:tc>
      </w:tr>
      <w:tr w14:paraId="140E9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931" w:type="dxa"/>
            <w:vMerge w:val="restart"/>
            <w:vAlign w:val="center"/>
          </w:tcPr>
          <w:p w14:paraId="47AA2546">
            <w:pPr>
              <w:pStyle w:val="19"/>
              <w:jc w:val="center"/>
              <w:rPr>
                <w:rFonts w:ascii="Times New Roman" w:hAnsi="Times New Roman" w:cs="Times New Roman"/>
                <w:sz w:val="24"/>
                <w:szCs w:val="24"/>
              </w:rPr>
            </w:pPr>
            <w:r>
              <w:rPr>
                <w:rFonts w:ascii="Times New Roman" w:hAnsi="Times New Roman" w:cs="Times New Roman"/>
                <w:sz w:val="24"/>
                <w:szCs w:val="24"/>
              </w:rPr>
              <w:t>安全控制</w:t>
            </w:r>
          </w:p>
        </w:tc>
        <w:tc>
          <w:tcPr>
            <w:tcW w:w="1032" w:type="dxa"/>
            <w:vMerge w:val="restart"/>
            <w:vAlign w:val="center"/>
          </w:tcPr>
          <w:p w14:paraId="6564D800">
            <w:pPr>
              <w:pStyle w:val="19"/>
              <w:jc w:val="center"/>
              <w:rPr>
                <w:rFonts w:ascii="Times New Roman" w:hAnsi="Times New Roman" w:cs="Times New Roman"/>
                <w:sz w:val="24"/>
                <w:szCs w:val="24"/>
              </w:rPr>
            </w:pPr>
            <w:r>
              <w:rPr>
                <w:rFonts w:ascii="Times New Roman" w:hAnsi="Times New Roman" w:cs="Times New Roman"/>
                <w:sz w:val="24"/>
                <w:szCs w:val="24"/>
              </w:rPr>
              <w:t>10分</w:t>
            </w:r>
          </w:p>
        </w:tc>
        <w:tc>
          <w:tcPr>
            <w:tcW w:w="5484" w:type="dxa"/>
          </w:tcPr>
          <w:p w14:paraId="68BF7594">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安全管理机构、管理程序、管理制度的健全性;安全保证措施的完善性和针对性一般，得6分</w:t>
            </w:r>
          </w:p>
        </w:tc>
      </w:tr>
      <w:tr w14:paraId="74414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31" w:type="dxa"/>
            <w:vMerge w:val="continue"/>
            <w:vAlign w:val="center"/>
          </w:tcPr>
          <w:p w14:paraId="0F13D788">
            <w:pPr>
              <w:pStyle w:val="19"/>
              <w:jc w:val="center"/>
              <w:rPr>
                <w:rFonts w:ascii="Times New Roman" w:hAnsi="Times New Roman" w:cs="Times New Roman"/>
                <w:sz w:val="24"/>
                <w:szCs w:val="24"/>
                <w:lang w:eastAsia="zh-CN"/>
              </w:rPr>
            </w:pPr>
          </w:p>
        </w:tc>
        <w:tc>
          <w:tcPr>
            <w:tcW w:w="1032" w:type="dxa"/>
            <w:vMerge w:val="continue"/>
            <w:vAlign w:val="center"/>
          </w:tcPr>
          <w:p w14:paraId="07403D86">
            <w:pPr>
              <w:pStyle w:val="19"/>
              <w:jc w:val="center"/>
              <w:rPr>
                <w:rFonts w:ascii="Times New Roman" w:hAnsi="Times New Roman" w:cs="Times New Roman"/>
                <w:sz w:val="24"/>
                <w:szCs w:val="24"/>
                <w:lang w:eastAsia="zh-CN"/>
              </w:rPr>
            </w:pPr>
          </w:p>
        </w:tc>
        <w:tc>
          <w:tcPr>
            <w:tcW w:w="5484" w:type="dxa"/>
          </w:tcPr>
          <w:p w14:paraId="4684EB3C">
            <w:pPr>
              <w:pStyle w:val="19"/>
              <w:jc w:val="both"/>
              <w:rPr>
                <w:rFonts w:ascii="Times New Roman" w:hAnsi="Times New Roman" w:cs="Times New Roman"/>
                <w:sz w:val="24"/>
                <w:szCs w:val="24"/>
                <w:lang w:eastAsia="zh-CN"/>
              </w:rPr>
            </w:pPr>
            <w:r>
              <w:rPr>
                <w:rFonts w:ascii="Times New Roman" w:hAnsi="Times New Roman" w:cs="Times New Roman"/>
                <w:sz w:val="24"/>
                <w:szCs w:val="24"/>
                <w:lang w:eastAsia="zh-CN"/>
              </w:rPr>
              <w:t>安全管理机构、管理程序、管理制度的健全性;安全保证措施的完善性和针对性较好，得6-8分</w:t>
            </w:r>
          </w:p>
        </w:tc>
      </w:tr>
      <w:tr w14:paraId="5DB6C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931" w:type="dxa"/>
            <w:vMerge w:val="continue"/>
            <w:vAlign w:val="center"/>
          </w:tcPr>
          <w:p w14:paraId="075DBFEC">
            <w:pPr>
              <w:pStyle w:val="19"/>
              <w:jc w:val="center"/>
              <w:rPr>
                <w:rFonts w:ascii="Times New Roman" w:hAnsi="Times New Roman" w:cs="Times New Roman"/>
                <w:sz w:val="24"/>
                <w:szCs w:val="24"/>
                <w:lang w:eastAsia="zh-CN"/>
              </w:rPr>
            </w:pPr>
          </w:p>
        </w:tc>
        <w:tc>
          <w:tcPr>
            <w:tcW w:w="1032" w:type="dxa"/>
            <w:vMerge w:val="continue"/>
            <w:vAlign w:val="center"/>
          </w:tcPr>
          <w:p w14:paraId="32987184">
            <w:pPr>
              <w:pStyle w:val="19"/>
              <w:jc w:val="center"/>
              <w:rPr>
                <w:rFonts w:ascii="Times New Roman" w:hAnsi="Times New Roman" w:cs="Times New Roman"/>
                <w:sz w:val="24"/>
                <w:szCs w:val="24"/>
                <w:lang w:eastAsia="zh-CN"/>
              </w:rPr>
            </w:pPr>
          </w:p>
        </w:tc>
        <w:tc>
          <w:tcPr>
            <w:tcW w:w="5484" w:type="dxa"/>
          </w:tcPr>
          <w:p w14:paraId="1D4791F2">
            <w:pPr>
              <w:pStyle w:val="19"/>
              <w:jc w:val="both"/>
              <w:rPr>
                <w:sz w:val="24"/>
                <w:lang w:eastAsia="zh-CN"/>
              </w:rPr>
            </w:pPr>
            <w:r>
              <w:rPr>
                <w:rFonts w:ascii="Times New Roman" w:hAnsi="Times New Roman" w:cs="Times New Roman"/>
                <w:sz w:val="24"/>
                <w:szCs w:val="24"/>
                <w:lang w:eastAsia="zh-CN"/>
              </w:rPr>
              <w:t>安全管理机构、管理程序、管理制度的健全性;安全证措施的完善性</w:t>
            </w:r>
            <w:r>
              <w:rPr>
                <w:sz w:val="24"/>
                <w:lang w:eastAsia="zh-CN"/>
              </w:rPr>
              <w:t>和针对性好，得8-10分</w:t>
            </w:r>
          </w:p>
        </w:tc>
      </w:tr>
      <w:tr w14:paraId="14453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31" w:type="dxa"/>
            <w:vMerge w:val="restart"/>
            <w:vAlign w:val="center"/>
          </w:tcPr>
          <w:p w14:paraId="47B8695B">
            <w:pPr>
              <w:pStyle w:val="19"/>
              <w:ind w:left="57"/>
              <w:jc w:val="center"/>
              <w:rPr>
                <w:sz w:val="24"/>
              </w:rPr>
            </w:pPr>
            <w:r>
              <w:rPr>
                <w:sz w:val="24"/>
              </w:rPr>
              <w:t>进度控制</w:t>
            </w:r>
          </w:p>
        </w:tc>
        <w:tc>
          <w:tcPr>
            <w:tcW w:w="1032" w:type="dxa"/>
            <w:vMerge w:val="restart"/>
            <w:vAlign w:val="center"/>
          </w:tcPr>
          <w:p w14:paraId="08AE9F81">
            <w:pPr>
              <w:pStyle w:val="19"/>
              <w:ind w:left="57"/>
              <w:jc w:val="center"/>
              <w:rPr>
                <w:sz w:val="24"/>
              </w:rPr>
            </w:pPr>
            <w:r>
              <w:rPr>
                <w:sz w:val="24"/>
              </w:rPr>
              <w:t>5分</w:t>
            </w:r>
          </w:p>
        </w:tc>
        <w:tc>
          <w:tcPr>
            <w:tcW w:w="5484" w:type="dxa"/>
          </w:tcPr>
          <w:p w14:paraId="2E29CA5E">
            <w:pPr>
              <w:pStyle w:val="19"/>
              <w:spacing w:before="115"/>
              <w:ind w:left="58"/>
              <w:jc w:val="both"/>
              <w:rPr>
                <w:sz w:val="24"/>
                <w:lang w:eastAsia="zh-CN"/>
              </w:rPr>
            </w:pPr>
            <w:r>
              <w:rPr>
                <w:sz w:val="24"/>
                <w:lang w:eastAsia="zh-CN"/>
              </w:rPr>
              <w:t>服务进度安排科学合理性、计划周密性、可操作性一般,得3分</w:t>
            </w:r>
          </w:p>
        </w:tc>
      </w:tr>
      <w:tr w14:paraId="6A51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1931" w:type="dxa"/>
            <w:vMerge w:val="continue"/>
            <w:tcBorders>
              <w:top w:val="nil"/>
            </w:tcBorders>
            <w:vAlign w:val="center"/>
          </w:tcPr>
          <w:p w14:paraId="3F1A0E9B">
            <w:pPr>
              <w:jc w:val="center"/>
              <w:rPr>
                <w:sz w:val="2"/>
                <w:szCs w:val="2"/>
                <w:lang w:eastAsia="zh-CN"/>
              </w:rPr>
            </w:pPr>
          </w:p>
        </w:tc>
        <w:tc>
          <w:tcPr>
            <w:tcW w:w="1032" w:type="dxa"/>
            <w:vMerge w:val="continue"/>
            <w:tcBorders>
              <w:top w:val="nil"/>
            </w:tcBorders>
            <w:vAlign w:val="center"/>
          </w:tcPr>
          <w:p w14:paraId="65AF19A9">
            <w:pPr>
              <w:jc w:val="center"/>
              <w:rPr>
                <w:sz w:val="2"/>
                <w:szCs w:val="2"/>
                <w:lang w:eastAsia="zh-CN"/>
              </w:rPr>
            </w:pPr>
          </w:p>
        </w:tc>
        <w:tc>
          <w:tcPr>
            <w:tcW w:w="5484" w:type="dxa"/>
          </w:tcPr>
          <w:p w14:paraId="097861EF">
            <w:pPr>
              <w:pStyle w:val="19"/>
              <w:spacing w:before="114"/>
              <w:ind w:left="58"/>
              <w:jc w:val="both"/>
              <w:rPr>
                <w:sz w:val="24"/>
                <w:lang w:eastAsia="zh-CN"/>
              </w:rPr>
            </w:pPr>
            <w:r>
              <w:rPr>
                <w:sz w:val="24"/>
                <w:lang w:eastAsia="zh-CN"/>
              </w:rPr>
              <w:t>服务进度安排科学合理性、计划周密性、可操作性较好得3-4分</w:t>
            </w:r>
          </w:p>
        </w:tc>
      </w:tr>
      <w:tr w14:paraId="5415E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931" w:type="dxa"/>
            <w:vMerge w:val="continue"/>
            <w:tcBorders>
              <w:top w:val="nil"/>
            </w:tcBorders>
            <w:vAlign w:val="center"/>
          </w:tcPr>
          <w:p w14:paraId="5B43D1BB">
            <w:pPr>
              <w:jc w:val="center"/>
              <w:rPr>
                <w:sz w:val="2"/>
                <w:szCs w:val="2"/>
                <w:lang w:eastAsia="zh-CN"/>
              </w:rPr>
            </w:pPr>
          </w:p>
        </w:tc>
        <w:tc>
          <w:tcPr>
            <w:tcW w:w="1032" w:type="dxa"/>
            <w:vMerge w:val="continue"/>
            <w:tcBorders>
              <w:top w:val="nil"/>
            </w:tcBorders>
            <w:vAlign w:val="center"/>
          </w:tcPr>
          <w:p w14:paraId="53D1EC8B">
            <w:pPr>
              <w:jc w:val="center"/>
              <w:rPr>
                <w:sz w:val="2"/>
                <w:szCs w:val="2"/>
                <w:lang w:eastAsia="zh-CN"/>
              </w:rPr>
            </w:pPr>
          </w:p>
        </w:tc>
        <w:tc>
          <w:tcPr>
            <w:tcW w:w="5484" w:type="dxa"/>
          </w:tcPr>
          <w:p w14:paraId="376C62C5">
            <w:pPr>
              <w:pStyle w:val="19"/>
              <w:spacing w:before="115"/>
              <w:ind w:left="58"/>
              <w:jc w:val="both"/>
              <w:rPr>
                <w:sz w:val="24"/>
                <w:lang w:eastAsia="zh-CN"/>
              </w:rPr>
            </w:pPr>
            <w:r>
              <w:rPr>
                <w:sz w:val="24"/>
                <w:lang w:eastAsia="zh-CN"/>
              </w:rPr>
              <w:t>服务进度安排科学合理性、计划周密性、可操作性好，得4-5分</w:t>
            </w:r>
          </w:p>
        </w:tc>
      </w:tr>
      <w:tr w14:paraId="56ED2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931" w:type="dxa"/>
            <w:vMerge w:val="restart"/>
            <w:vAlign w:val="center"/>
          </w:tcPr>
          <w:p w14:paraId="66D7C170">
            <w:pPr>
              <w:pStyle w:val="19"/>
              <w:spacing w:line="364" w:lineRule="auto"/>
              <w:ind w:left="57" w:right="-15"/>
              <w:jc w:val="center"/>
              <w:rPr>
                <w:sz w:val="24"/>
                <w:lang w:eastAsia="zh-CN"/>
              </w:rPr>
            </w:pPr>
            <w:r>
              <w:rPr>
                <w:spacing w:val="45"/>
                <w:sz w:val="24"/>
                <w:lang w:eastAsia="zh-CN"/>
              </w:rPr>
              <w:t>项目组织机</w:t>
            </w:r>
            <w:r>
              <w:rPr>
                <w:spacing w:val="-2"/>
                <w:sz w:val="24"/>
                <w:lang w:eastAsia="zh-CN"/>
              </w:rPr>
              <w:t>构及人员、仪</w:t>
            </w:r>
            <w:r>
              <w:rPr>
                <w:sz w:val="24"/>
                <w:lang w:eastAsia="zh-CN"/>
              </w:rPr>
              <w:t>器设备安排</w:t>
            </w:r>
          </w:p>
        </w:tc>
        <w:tc>
          <w:tcPr>
            <w:tcW w:w="1032" w:type="dxa"/>
            <w:vMerge w:val="restart"/>
            <w:vAlign w:val="center"/>
          </w:tcPr>
          <w:p w14:paraId="7E24DACC">
            <w:pPr>
              <w:pStyle w:val="19"/>
              <w:ind w:left="57"/>
              <w:jc w:val="center"/>
              <w:rPr>
                <w:sz w:val="24"/>
              </w:rPr>
            </w:pPr>
            <w:r>
              <w:rPr>
                <w:sz w:val="24"/>
              </w:rPr>
              <w:t>5分</w:t>
            </w:r>
          </w:p>
        </w:tc>
        <w:tc>
          <w:tcPr>
            <w:tcW w:w="5484" w:type="dxa"/>
          </w:tcPr>
          <w:p w14:paraId="66EAC0A3">
            <w:pPr>
              <w:pStyle w:val="19"/>
              <w:spacing w:before="116"/>
              <w:ind w:left="58" w:right="-15"/>
              <w:jc w:val="both"/>
              <w:rPr>
                <w:sz w:val="24"/>
                <w:lang w:eastAsia="zh-CN"/>
              </w:rPr>
            </w:pPr>
            <w:r>
              <w:rPr>
                <w:spacing w:val="-10"/>
                <w:sz w:val="24"/>
                <w:lang w:eastAsia="zh-CN"/>
              </w:rPr>
              <w:t>人员、仪器设备的配备及进场时间安排基本明确、机构设置、人员岗</w:t>
            </w:r>
            <w:r>
              <w:rPr>
                <w:sz w:val="24"/>
                <w:lang w:eastAsia="zh-CN"/>
              </w:rPr>
              <w:t>位设置基本合理，得3分</w:t>
            </w:r>
          </w:p>
        </w:tc>
      </w:tr>
      <w:tr w14:paraId="7CED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931" w:type="dxa"/>
            <w:vMerge w:val="continue"/>
            <w:tcBorders>
              <w:top w:val="nil"/>
            </w:tcBorders>
            <w:vAlign w:val="center"/>
          </w:tcPr>
          <w:p w14:paraId="63533AC9">
            <w:pPr>
              <w:jc w:val="center"/>
              <w:rPr>
                <w:sz w:val="2"/>
                <w:szCs w:val="2"/>
                <w:lang w:eastAsia="zh-CN"/>
              </w:rPr>
            </w:pPr>
          </w:p>
        </w:tc>
        <w:tc>
          <w:tcPr>
            <w:tcW w:w="1032" w:type="dxa"/>
            <w:vMerge w:val="continue"/>
            <w:tcBorders>
              <w:top w:val="nil"/>
            </w:tcBorders>
            <w:vAlign w:val="center"/>
          </w:tcPr>
          <w:p w14:paraId="0B030B03">
            <w:pPr>
              <w:jc w:val="center"/>
              <w:rPr>
                <w:sz w:val="2"/>
                <w:szCs w:val="2"/>
                <w:lang w:eastAsia="zh-CN"/>
              </w:rPr>
            </w:pPr>
          </w:p>
        </w:tc>
        <w:tc>
          <w:tcPr>
            <w:tcW w:w="5484" w:type="dxa"/>
          </w:tcPr>
          <w:p w14:paraId="0ECA2B57">
            <w:pPr>
              <w:pStyle w:val="19"/>
              <w:spacing w:before="114"/>
              <w:ind w:left="58" w:right="-15"/>
              <w:jc w:val="both"/>
              <w:rPr>
                <w:sz w:val="24"/>
                <w:lang w:eastAsia="zh-CN"/>
              </w:rPr>
            </w:pPr>
            <w:r>
              <w:rPr>
                <w:spacing w:val="-10"/>
                <w:sz w:val="24"/>
                <w:lang w:eastAsia="zh-CN"/>
              </w:rPr>
              <w:t>人员、仪器设备的配备及进场时间安排比较明确、机构设置、人员岗</w:t>
            </w:r>
            <w:r>
              <w:rPr>
                <w:sz w:val="24"/>
                <w:lang w:eastAsia="zh-CN"/>
              </w:rPr>
              <w:t>位设置比较合理，得3-4分</w:t>
            </w:r>
          </w:p>
        </w:tc>
      </w:tr>
      <w:tr w14:paraId="7EF42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931" w:type="dxa"/>
            <w:vMerge w:val="continue"/>
            <w:tcBorders>
              <w:top w:val="nil"/>
            </w:tcBorders>
            <w:vAlign w:val="center"/>
          </w:tcPr>
          <w:p w14:paraId="37A4F24E">
            <w:pPr>
              <w:jc w:val="center"/>
              <w:rPr>
                <w:sz w:val="2"/>
                <w:szCs w:val="2"/>
                <w:lang w:eastAsia="zh-CN"/>
              </w:rPr>
            </w:pPr>
          </w:p>
        </w:tc>
        <w:tc>
          <w:tcPr>
            <w:tcW w:w="1032" w:type="dxa"/>
            <w:vMerge w:val="continue"/>
            <w:tcBorders>
              <w:top w:val="nil"/>
            </w:tcBorders>
            <w:vAlign w:val="center"/>
          </w:tcPr>
          <w:p w14:paraId="4DF05F32">
            <w:pPr>
              <w:jc w:val="center"/>
              <w:rPr>
                <w:sz w:val="2"/>
                <w:szCs w:val="2"/>
                <w:lang w:eastAsia="zh-CN"/>
              </w:rPr>
            </w:pPr>
          </w:p>
        </w:tc>
        <w:tc>
          <w:tcPr>
            <w:tcW w:w="5484" w:type="dxa"/>
          </w:tcPr>
          <w:p w14:paraId="1980D83C">
            <w:pPr>
              <w:pStyle w:val="19"/>
              <w:spacing w:before="115"/>
              <w:ind w:left="58" w:right="-15"/>
              <w:jc w:val="both"/>
              <w:rPr>
                <w:sz w:val="24"/>
                <w:lang w:eastAsia="zh-CN"/>
              </w:rPr>
            </w:pPr>
            <w:r>
              <w:rPr>
                <w:spacing w:val="-10"/>
                <w:sz w:val="24"/>
                <w:lang w:eastAsia="zh-CN"/>
              </w:rPr>
              <w:t>人员、仪器设备的配备及进场时间安排很明确、机构设置、人员岗位</w:t>
            </w:r>
            <w:r>
              <w:rPr>
                <w:sz w:val="24"/>
                <w:lang w:eastAsia="zh-CN"/>
              </w:rPr>
              <w:t>设置很合理，得4-5分</w:t>
            </w:r>
          </w:p>
        </w:tc>
      </w:tr>
    </w:tbl>
    <w:p w14:paraId="7841EFB4">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（4）综合实力评审（15 分）</w:t>
      </w:r>
    </w:p>
    <w:tbl>
      <w:tblPr>
        <w:tblStyle w:val="16"/>
        <w:tblW w:w="831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0"/>
        <w:gridCol w:w="2216"/>
        <w:gridCol w:w="1222"/>
        <w:gridCol w:w="4108"/>
      </w:tblGrid>
      <w:tr w14:paraId="089FC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770" w:type="dxa"/>
            <w:vAlign w:val="center"/>
          </w:tcPr>
          <w:p w14:paraId="1495B31F">
            <w:pPr>
              <w:pStyle w:val="19"/>
              <w:jc w:val="center"/>
              <w:rPr>
                <w:rFonts w:ascii="Times New Roman" w:hAnsi="Times New Roman" w:cs="Times New Roman"/>
                <w:sz w:val="24"/>
                <w:szCs w:val="24"/>
              </w:rPr>
            </w:pPr>
            <w:r>
              <w:rPr>
                <w:rFonts w:ascii="Times New Roman" w:hAnsi="Times New Roman" w:cs="Times New Roman"/>
                <w:sz w:val="24"/>
                <w:szCs w:val="24"/>
              </w:rPr>
              <w:t>序号</w:t>
            </w:r>
          </w:p>
        </w:tc>
        <w:tc>
          <w:tcPr>
            <w:tcW w:w="2216" w:type="dxa"/>
            <w:vAlign w:val="center"/>
          </w:tcPr>
          <w:p w14:paraId="4E0560F0">
            <w:pPr>
              <w:pStyle w:val="19"/>
              <w:jc w:val="center"/>
              <w:rPr>
                <w:rFonts w:ascii="Times New Roman" w:hAnsi="Times New Roman" w:cs="Times New Roman"/>
                <w:sz w:val="24"/>
                <w:szCs w:val="24"/>
              </w:rPr>
            </w:pPr>
            <w:r>
              <w:rPr>
                <w:rFonts w:ascii="Times New Roman" w:hAnsi="Times New Roman" w:cs="Times New Roman"/>
                <w:sz w:val="24"/>
                <w:szCs w:val="24"/>
              </w:rPr>
              <w:t>项目</w:t>
            </w:r>
          </w:p>
        </w:tc>
        <w:tc>
          <w:tcPr>
            <w:tcW w:w="1222" w:type="dxa"/>
            <w:vAlign w:val="center"/>
          </w:tcPr>
          <w:p w14:paraId="3F64A543">
            <w:pPr>
              <w:pStyle w:val="19"/>
              <w:jc w:val="center"/>
              <w:rPr>
                <w:rFonts w:ascii="Times New Roman" w:hAnsi="Times New Roman" w:cs="Times New Roman"/>
                <w:sz w:val="24"/>
                <w:szCs w:val="24"/>
              </w:rPr>
            </w:pPr>
            <w:r>
              <w:rPr>
                <w:rFonts w:ascii="Times New Roman" w:hAnsi="Times New Roman" w:cs="Times New Roman"/>
                <w:sz w:val="24"/>
                <w:szCs w:val="24"/>
              </w:rPr>
              <w:t>最高得分</w:t>
            </w:r>
          </w:p>
        </w:tc>
        <w:tc>
          <w:tcPr>
            <w:tcW w:w="4108" w:type="dxa"/>
            <w:vAlign w:val="center"/>
          </w:tcPr>
          <w:p w14:paraId="1324DF86">
            <w:pPr>
              <w:pStyle w:val="19"/>
              <w:jc w:val="center"/>
              <w:rPr>
                <w:rFonts w:ascii="Times New Roman" w:hAnsi="Times New Roman" w:cs="Times New Roman"/>
                <w:sz w:val="24"/>
                <w:szCs w:val="24"/>
              </w:rPr>
            </w:pPr>
            <w:r>
              <w:rPr>
                <w:rFonts w:ascii="Times New Roman" w:hAnsi="Times New Roman" w:cs="Times New Roman"/>
                <w:sz w:val="24"/>
                <w:szCs w:val="24"/>
              </w:rPr>
              <w:t>评分标准</w:t>
            </w:r>
          </w:p>
        </w:tc>
      </w:tr>
      <w:tr w14:paraId="6A673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770" w:type="dxa"/>
            <w:vAlign w:val="center"/>
          </w:tcPr>
          <w:p w14:paraId="7469F8E6">
            <w:pPr>
              <w:pStyle w:val="19"/>
              <w:jc w:val="center"/>
              <w:rPr>
                <w:rFonts w:ascii="Times New Roman" w:hAnsi="Times New Roman" w:cs="Times New Roman"/>
                <w:sz w:val="24"/>
                <w:szCs w:val="24"/>
              </w:rPr>
            </w:pPr>
            <w:r>
              <w:rPr>
                <w:rFonts w:ascii="Times New Roman" w:hAnsi="Times New Roman" w:cs="Times New Roman"/>
                <w:sz w:val="24"/>
                <w:szCs w:val="24"/>
              </w:rPr>
              <w:t>1</w:t>
            </w:r>
          </w:p>
        </w:tc>
        <w:tc>
          <w:tcPr>
            <w:tcW w:w="2216" w:type="dxa"/>
            <w:vAlign w:val="center"/>
          </w:tcPr>
          <w:p w14:paraId="207E917C">
            <w:pPr>
              <w:pStyle w:val="19"/>
              <w:jc w:val="center"/>
              <w:rPr>
                <w:rFonts w:ascii="Times New Roman" w:hAnsi="Times New Roman" w:cs="Times New Roman"/>
                <w:sz w:val="24"/>
                <w:szCs w:val="24"/>
              </w:rPr>
            </w:pPr>
            <w:r>
              <w:rPr>
                <w:rFonts w:ascii="Times New Roman" w:hAnsi="Times New Roman" w:cs="Times New Roman"/>
                <w:sz w:val="24"/>
                <w:szCs w:val="24"/>
              </w:rPr>
              <w:t>企业业绩</w:t>
            </w:r>
          </w:p>
        </w:tc>
        <w:tc>
          <w:tcPr>
            <w:tcW w:w="1222" w:type="dxa"/>
            <w:vAlign w:val="center"/>
          </w:tcPr>
          <w:p w14:paraId="329FF453">
            <w:pPr>
              <w:pStyle w:val="19"/>
              <w:jc w:val="center"/>
              <w:rPr>
                <w:rFonts w:ascii="Times New Roman" w:hAnsi="Times New Roman" w:cs="Times New Roman"/>
                <w:sz w:val="24"/>
                <w:szCs w:val="24"/>
              </w:rPr>
            </w:pPr>
            <w:r>
              <w:rPr>
                <w:rFonts w:ascii="Times New Roman" w:hAnsi="Times New Roman" w:cs="Times New Roman"/>
                <w:sz w:val="24"/>
                <w:szCs w:val="24"/>
              </w:rPr>
              <w:t>10 分</w:t>
            </w:r>
          </w:p>
        </w:tc>
        <w:tc>
          <w:tcPr>
            <w:tcW w:w="4108" w:type="dxa"/>
            <w:vAlign w:val="center"/>
          </w:tcPr>
          <w:p w14:paraId="3D6CE96C">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满足资格审查最低要求得 6 分，</w:t>
            </w:r>
          </w:p>
          <w:p w14:paraId="1643A2D6">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每增加 1 项码头工程水工桩基检</w:t>
            </w:r>
          </w:p>
          <w:p w14:paraId="3BCAB3F9">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测业绩得 2 分，最高得 10 分。</w:t>
            </w:r>
          </w:p>
        </w:tc>
      </w:tr>
      <w:tr w14:paraId="14A7A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770" w:type="dxa"/>
            <w:vAlign w:val="center"/>
          </w:tcPr>
          <w:p w14:paraId="14707B8F">
            <w:pPr>
              <w:pStyle w:val="19"/>
              <w:jc w:val="center"/>
              <w:rPr>
                <w:rFonts w:ascii="Times New Roman" w:hAnsi="Times New Roman" w:cs="Times New Roman"/>
                <w:sz w:val="24"/>
                <w:szCs w:val="24"/>
              </w:rPr>
            </w:pPr>
            <w:r>
              <w:rPr>
                <w:rFonts w:ascii="Times New Roman" w:hAnsi="Times New Roman" w:cs="Times New Roman"/>
                <w:sz w:val="24"/>
                <w:szCs w:val="24"/>
              </w:rPr>
              <w:t>2</w:t>
            </w:r>
          </w:p>
        </w:tc>
        <w:tc>
          <w:tcPr>
            <w:tcW w:w="2216" w:type="dxa"/>
            <w:vAlign w:val="center"/>
          </w:tcPr>
          <w:p w14:paraId="3A40DFDC">
            <w:pPr>
              <w:pStyle w:val="19"/>
              <w:jc w:val="center"/>
              <w:rPr>
                <w:rFonts w:ascii="Times New Roman" w:hAnsi="Times New Roman" w:cs="Times New Roman"/>
                <w:sz w:val="24"/>
                <w:szCs w:val="24"/>
              </w:rPr>
            </w:pPr>
            <w:r>
              <w:rPr>
                <w:rFonts w:ascii="Times New Roman" w:hAnsi="Times New Roman" w:cs="Times New Roman"/>
                <w:sz w:val="24"/>
                <w:szCs w:val="24"/>
              </w:rPr>
              <w:t>项目负责人业绩</w:t>
            </w:r>
          </w:p>
        </w:tc>
        <w:tc>
          <w:tcPr>
            <w:tcW w:w="1222" w:type="dxa"/>
            <w:vAlign w:val="center"/>
          </w:tcPr>
          <w:p w14:paraId="65D8DCA0">
            <w:pPr>
              <w:pStyle w:val="19"/>
              <w:jc w:val="center"/>
              <w:rPr>
                <w:rFonts w:ascii="Times New Roman" w:hAnsi="Times New Roman" w:cs="Times New Roman"/>
                <w:sz w:val="24"/>
                <w:szCs w:val="24"/>
              </w:rPr>
            </w:pPr>
            <w:r>
              <w:rPr>
                <w:rFonts w:ascii="Times New Roman" w:hAnsi="Times New Roman" w:cs="Times New Roman"/>
                <w:sz w:val="24"/>
                <w:szCs w:val="24"/>
              </w:rPr>
              <w:t>2 分</w:t>
            </w:r>
          </w:p>
        </w:tc>
        <w:tc>
          <w:tcPr>
            <w:tcW w:w="4108" w:type="dxa"/>
            <w:vAlign w:val="center"/>
          </w:tcPr>
          <w:p w14:paraId="4B94E0EF">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2019 年</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highlight w:val="none"/>
                <w:lang w:val="en-US" w:eastAsia="zh-CN"/>
              </w:rPr>
              <w:t xml:space="preserve">9 </w:t>
            </w:r>
            <w:r>
              <w:rPr>
                <w:rFonts w:ascii="Times New Roman" w:hAnsi="Times New Roman" w:cs="Times New Roman"/>
                <w:sz w:val="24"/>
                <w:szCs w:val="24"/>
                <w:lang w:eastAsia="zh-CN"/>
              </w:rPr>
              <w:t>月 1 日至今项目负责人</w:t>
            </w:r>
          </w:p>
          <w:p w14:paraId="2985FF80">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每完成过 1 项码头工程水工桩基检测业绩得 2 分，最高得 2 分。</w:t>
            </w:r>
          </w:p>
        </w:tc>
      </w:tr>
      <w:tr w14:paraId="7018C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770" w:type="dxa"/>
            <w:vAlign w:val="center"/>
          </w:tcPr>
          <w:p w14:paraId="7DCCCCA3">
            <w:pPr>
              <w:pStyle w:val="19"/>
              <w:jc w:val="center"/>
              <w:rPr>
                <w:rFonts w:ascii="Times New Roman" w:hAnsi="Times New Roman" w:cs="Times New Roman"/>
                <w:sz w:val="24"/>
                <w:szCs w:val="24"/>
              </w:rPr>
            </w:pPr>
            <w:r>
              <w:rPr>
                <w:rFonts w:ascii="Times New Roman" w:hAnsi="Times New Roman" w:cs="Times New Roman"/>
                <w:sz w:val="24"/>
                <w:szCs w:val="24"/>
              </w:rPr>
              <w:t>3</w:t>
            </w:r>
          </w:p>
        </w:tc>
        <w:tc>
          <w:tcPr>
            <w:tcW w:w="2216" w:type="dxa"/>
            <w:vAlign w:val="center"/>
          </w:tcPr>
          <w:p w14:paraId="34D392B6">
            <w:pPr>
              <w:pStyle w:val="19"/>
              <w:jc w:val="center"/>
              <w:rPr>
                <w:rFonts w:ascii="Times New Roman" w:hAnsi="Times New Roman" w:cs="Times New Roman"/>
                <w:sz w:val="24"/>
                <w:szCs w:val="24"/>
              </w:rPr>
            </w:pPr>
            <w:r>
              <w:rPr>
                <w:rFonts w:ascii="Times New Roman" w:hAnsi="Times New Roman" w:cs="Times New Roman"/>
                <w:sz w:val="24"/>
                <w:szCs w:val="24"/>
              </w:rPr>
              <w:t>人员</w:t>
            </w:r>
          </w:p>
        </w:tc>
        <w:tc>
          <w:tcPr>
            <w:tcW w:w="1222" w:type="dxa"/>
            <w:vAlign w:val="center"/>
          </w:tcPr>
          <w:p w14:paraId="33B00F95">
            <w:pPr>
              <w:pStyle w:val="19"/>
              <w:jc w:val="center"/>
              <w:rPr>
                <w:rFonts w:ascii="Times New Roman" w:hAnsi="Times New Roman" w:cs="Times New Roman"/>
                <w:sz w:val="24"/>
                <w:szCs w:val="24"/>
              </w:rPr>
            </w:pPr>
            <w:r>
              <w:rPr>
                <w:rFonts w:ascii="Times New Roman" w:hAnsi="Times New Roman" w:cs="Times New Roman"/>
                <w:sz w:val="24"/>
                <w:szCs w:val="24"/>
              </w:rPr>
              <w:t>3分</w:t>
            </w:r>
          </w:p>
        </w:tc>
        <w:tc>
          <w:tcPr>
            <w:tcW w:w="4108" w:type="dxa"/>
            <w:vAlign w:val="center"/>
          </w:tcPr>
          <w:p w14:paraId="04529B34">
            <w:pPr>
              <w:pStyle w:val="19"/>
              <w:jc w:val="center"/>
              <w:rPr>
                <w:rFonts w:ascii="Times New Roman" w:hAnsi="Times New Roman" w:cs="Times New Roman"/>
                <w:sz w:val="24"/>
                <w:szCs w:val="24"/>
                <w:lang w:eastAsia="zh-CN"/>
              </w:rPr>
            </w:pPr>
            <w:r>
              <w:rPr>
                <w:rFonts w:ascii="Times New Roman" w:hAnsi="Times New Roman" w:cs="Times New Roman"/>
                <w:sz w:val="24"/>
                <w:szCs w:val="24"/>
                <w:lang w:eastAsia="zh-CN"/>
              </w:rPr>
              <w:t>除项目负责人外，其他人员中每有1人每有一人次具有有效的试验检测师证书（结构或水运结构与地基）得1分，最多得3分。</w:t>
            </w:r>
            <w:r>
              <w:rPr>
                <w:rFonts w:hint="eastAsia" w:ascii="Times New Roman" w:hAnsi="Times New Roman" w:cs="Times New Roman"/>
                <w:b/>
                <w:bCs/>
                <w:sz w:val="24"/>
                <w:szCs w:val="24"/>
                <w:lang w:eastAsia="zh-CN"/>
              </w:rPr>
              <w:t>提供证书原件扫描件，并提供相关人员在本单位缴纳养老保险的证明需社保机构出具。</w:t>
            </w:r>
          </w:p>
        </w:tc>
      </w:tr>
    </w:tbl>
    <w:p w14:paraId="01662E04">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注：1、企业类似项目业绩指近五年（2019 年</w:t>
      </w:r>
      <w:r>
        <w:rPr>
          <w:rFonts w:hint="eastAsia" w:ascii="仿宋_GB2312" w:hAnsi="仿宋_GB2312" w:eastAsia="仿宋_GB2312"/>
          <w:sz w:val="28"/>
          <w:lang w:val="en-US" w:eastAsia="zh-CN"/>
        </w:rPr>
        <w:t xml:space="preserve"> </w:t>
      </w:r>
      <w:r>
        <w:rPr>
          <w:rFonts w:hint="eastAsia" w:ascii="仿宋_GB2312" w:hAnsi="仿宋_GB2312" w:eastAsia="仿宋_GB2312"/>
          <w:sz w:val="28"/>
          <w:highlight w:val="none"/>
          <w:lang w:val="en-US" w:eastAsia="zh-CN"/>
        </w:rPr>
        <w:t>9</w:t>
      </w:r>
      <w:r>
        <w:rPr>
          <w:rFonts w:ascii="仿宋_GB2312" w:hAnsi="仿宋_GB2312" w:eastAsia="仿宋_GB2312"/>
          <w:sz w:val="28"/>
          <w:lang w:eastAsia="zh-CN"/>
        </w:rPr>
        <w:t xml:space="preserve"> 月 1 日至今，时间以合同签订时间为准）的码头</w:t>
      </w:r>
      <w:r>
        <w:rPr>
          <w:rFonts w:hint="eastAsia" w:ascii="仿宋_GB2312" w:hAnsi="仿宋_GB2312" w:eastAsia="仿宋_GB2312"/>
          <w:sz w:val="28"/>
          <w:lang w:val="en-US" w:eastAsia="zh-CN"/>
        </w:rPr>
        <w:t xml:space="preserve"> </w:t>
      </w:r>
      <w:r>
        <w:rPr>
          <w:rFonts w:ascii="仿宋_GB2312" w:hAnsi="仿宋_GB2312" w:eastAsia="仿宋_GB2312"/>
          <w:sz w:val="28"/>
          <w:lang w:eastAsia="zh-CN"/>
        </w:rPr>
        <w:t xml:space="preserve">工程水工桩基试验检测业绩。须提供业绩合同、中标通知书（如有）扫描件，未完全提供业绩证明材料的，不予认可。项目负责人类似业绩指近五年（2019 年 </w:t>
      </w:r>
      <w:r>
        <w:rPr>
          <w:rFonts w:hint="eastAsia" w:ascii="仿宋_GB2312" w:hAnsi="仿宋_GB2312" w:eastAsia="仿宋_GB2312"/>
          <w:sz w:val="28"/>
          <w:highlight w:val="none"/>
          <w:lang w:val="en-US" w:eastAsia="zh-CN"/>
        </w:rPr>
        <w:t>9</w:t>
      </w:r>
      <w:r>
        <w:rPr>
          <w:rFonts w:ascii="仿宋_GB2312" w:hAnsi="仿宋_GB2312" w:eastAsia="仿宋_GB2312"/>
          <w:sz w:val="28"/>
          <w:lang w:eastAsia="zh-CN"/>
        </w:rPr>
        <w:t xml:space="preserve"> 月 1 日至今，时间以合同签订时间为准）的码头工程水工桩基检测业绩。须提供业绩合同、中标通知书（如有）扫描件，以上资料需能体现主要人员姓名及相应岗位，若不能体现，应提供其他证明资料（本单位出具的证明材料无效），未完全提供业绩证明材料的，不予认可。</w:t>
      </w:r>
    </w:p>
    <w:p w14:paraId="480000D5">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2、比选申请文件须提供以上资格证书、证明材料等扫描件。</w:t>
      </w:r>
    </w:p>
    <w:p w14:paraId="432CB9C1">
      <w:pPr>
        <w:pStyle w:val="3"/>
        <w:ind w:left="1235" w:leftChars="0" w:firstLineChars="0"/>
        <w:rPr>
          <w:lang w:eastAsia="zh-CN"/>
        </w:rPr>
      </w:pPr>
      <w:r>
        <w:rPr>
          <w:lang w:eastAsia="zh-CN"/>
        </w:rPr>
        <w:t>评比程序</w:t>
      </w:r>
    </w:p>
    <w:p w14:paraId="25DF0645">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w:t>
      </w:r>
      <w:r>
        <w:rPr>
          <w:rFonts w:hint="eastAsia" w:ascii="仿宋_GB2312" w:hAnsi="仿宋_GB2312" w:eastAsia="仿宋_GB2312"/>
          <w:sz w:val="28"/>
          <w:lang w:eastAsia="zh-CN"/>
        </w:rPr>
        <w:t>3</w:t>
      </w:r>
      <w:r>
        <w:rPr>
          <w:rFonts w:ascii="仿宋_GB2312" w:hAnsi="仿宋_GB2312" w:eastAsia="仿宋_GB2312"/>
          <w:sz w:val="28"/>
          <w:lang w:eastAsia="zh-CN"/>
        </w:rPr>
        <w:t>.1初步评审</w:t>
      </w:r>
    </w:p>
    <w:p w14:paraId="780040C8">
      <w:pPr>
        <w:spacing w:line="360" w:lineRule="auto"/>
        <w:ind w:firstLine="560" w:firstLineChars="200"/>
        <w:rPr>
          <w:rFonts w:ascii="仿宋_GB2312" w:hAnsi="仿宋_GB2312" w:eastAsia="仿宋_GB2312"/>
          <w:sz w:val="28"/>
          <w:lang w:eastAsia="zh-CN"/>
        </w:rPr>
      </w:pPr>
      <w:r>
        <w:rPr>
          <w:rFonts w:ascii="仿宋_GB2312" w:hAnsi="仿宋_GB2312" w:eastAsia="仿宋_GB2312"/>
          <w:sz w:val="28"/>
          <w:lang w:eastAsia="zh-CN"/>
        </w:rPr>
        <w:t>评比委员会按照本章第 4.</w:t>
      </w:r>
      <w:r>
        <w:rPr>
          <w:rFonts w:hint="eastAsia" w:ascii="仿宋_GB2312" w:hAnsi="仿宋_GB2312" w:eastAsia="仿宋_GB2312"/>
          <w:sz w:val="28"/>
          <w:lang w:eastAsia="zh-CN"/>
        </w:rPr>
        <w:t>2</w:t>
      </w:r>
      <w:r>
        <w:rPr>
          <w:rFonts w:ascii="仿宋_GB2312" w:hAnsi="仿宋_GB2312" w:eastAsia="仿宋_GB2312"/>
          <w:sz w:val="28"/>
          <w:lang w:eastAsia="zh-CN"/>
        </w:rPr>
        <w:t>.1 项规定的初步评审标准，对比选申请文件进行评审，有一项不符合评审标准的，做无效处理，不得通过符合性审查。</w:t>
      </w:r>
    </w:p>
    <w:p w14:paraId="3CC22FF1">
      <w:pPr>
        <w:pStyle w:val="15"/>
        <w:ind w:left="0" w:leftChars="0" w:firstLine="560" w:firstLineChars="200"/>
        <w:rPr>
          <w:rFonts w:ascii="仿宋_GB2312" w:hAnsi="仿宋_GB2312" w:eastAsia="仿宋_GB2312"/>
          <w:sz w:val="28"/>
          <w:lang w:eastAsia="zh-CN"/>
        </w:rPr>
      </w:pPr>
      <w:r>
        <w:rPr>
          <w:rFonts w:ascii="仿宋_GB2312" w:hAnsi="仿宋_GB2312" w:eastAsia="仿宋_GB2312"/>
          <w:sz w:val="28"/>
          <w:lang w:eastAsia="zh-CN"/>
        </w:rPr>
        <w:t>4.</w:t>
      </w:r>
      <w:r>
        <w:rPr>
          <w:rFonts w:hint="eastAsia" w:ascii="仿宋_GB2312" w:hAnsi="仿宋_GB2312" w:eastAsia="仿宋_GB2312"/>
          <w:sz w:val="28"/>
          <w:lang w:eastAsia="zh-CN"/>
        </w:rPr>
        <w:t>3</w:t>
      </w:r>
      <w:r>
        <w:rPr>
          <w:rFonts w:ascii="仿宋_GB2312" w:hAnsi="仿宋_GB2312" w:eastAsia="仿宋_GB2312"/>
          <w:sz w:val="28"/>
          <w:lang w:eastAsia="zh-CN"/>
        </w:rPr>
        <w:t>.2详细评审</w:t>
      </w:r>
    </w:p>
    <w:p w14:paraId="00B610FD">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.2.1评比委员会按照本章 4.</w:t>
      </w:r>
      <w:r>
        <w:rPr>
          <w:rFonts w:hint="eastAsia" w:ascii="仿宋_GB2312" w:hAnsi="仿宋_GB2312" w:eastAsia="仿宋_GB2312"/>
          <w:sz w:val="28"/>
          <w:highlight w:val="none"/>
          <w:lang w:eastAsia="zh-CN"/>
        </w:rPr>
        <w:t>2</w:t>
      </w:r>
      <w:r>
        <w:rPr>
          <w:rFonts w:ascii="仿宋_GB2312" w:hAnsi="仿宋_GB2312" w:eastAsia="仿宋_GB2312"/>
          <w:sz w:val="28"/>
          <w:highlight w:val="none"/>
          <w:lang w:eastAsia="zh-CN"/>
        </w:rPr>
        <w:t>.2 项规定的评分标准和分值进行打分。</w:t>
      </w:r>
    </w:p>
    <w:p w14:paraId="63B6649E">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b/>
          <w:bCs/>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.2.2</w:t>
      </w:r>
      <w:r>
        <w:rPr>
          <w:rFonts w:ascii="仿宋_GB2312" w:hAnsi="仿宋_GB2312" w:eastAsia="仿宋_GB2312"/>
          <w:b/>
          <w:bCs/>
          <w:sz w:val="28"/>
          <w:highlight w:val="none"/>
          <w:lang w:eastAsia="zh-CN"/>
        </w:rPr>
        <w:t>比选申请人得分=评比委员会成员所有评分的算术平均值。</w:t>
      </w:r>
    </w:p>
    <w:p w14:paraId="673EEFC4">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.3评标</w:t>
      </w:r>
      <w:bookmarkStart w:id="1" w:name="_GoBack"/>
      <w:bookmarkEnd w:id="1"/>
      <w:r>
        <w:rPr>
          <w:rFonts w:ascii="仿宋_GB2312" w:hAnsi="仿宋_GB2312" w:eastAsia="仿宋_GB2312"/>
          <w:sz w:val="28"/>
          <w:highlight w:val="none"/>
          <w:lang w:eastAsia="zh-CN"/>
        </w:rPr>
        <w:t>结果</w:t>
      </w:r>
    </w:p>
    <w:p w14:paraId="74812CDC">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highlight w:val="none"/>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.3.1评比委员会按照第三章《比选申请人须知》第 3.</w:t>
      </w:r>
      <w:r>
        <w:rPr>
          <w:rFonts w:hint="eastAsia" w:ascii="仿宋_GB2312" w:hAnsi="仿宋_GB2312" w:eastAsia="仿宋_GB2312"/>
          <w:sz w:val="28"/>
          <w:highlight w:val="none"/>
          <w:lang w:eastAsia="zh-CN"/>
        </w:rPr>
        <w:t>5</w:t>
      </w:r>
      <w:r>
        <w:rPr>
          <w:rFonts w:ascii="仿宋_GB2312" w:hAnsi="仿宋_GB2312" w:eastAsia="仿宋_GB2312"/>
          <w:sz w:val="28"/>
          <w:highlight w:val="none"/>
          <w:lang w:eastAsia="zh-CN"/>
        </w:rPr>
        <w:t>.1 项的规定确定中选人。</w:t>
      </w:r>
    </w:p>
    <w:p w14:paraId="1AA2DB07">
      <w:pPr>
        <w:pStyle w:val="15"/>
        <w:keepNext w:val="0"/>
        <w:keepLines w:val="0"/>
        <w:pageBreakBefore w:val="0"/>
        <w:widowControl w:val="0"/>
        <w:kinsoku/>
        <w:wordWrap/>
        <w:overflowPunct/>
        <w:topLinePunct w:val="0"/>
        <w:autoSpaceDE w:val="0"/>
        <w:autoSpaceDN w:val="0"/>
        <w:bidi w:val="0"/>
        <w:adjustRightInd/>
        <w:snapToGrid/>
        <w:ind w:left="0" w:leftChars="0" w:firstLine="560" w:firstLineChars="200"/>
        <w:textAlignment w:val="auto"/>
        <w:rPr>
          <w:rFonts w:ascii="仿宋_GB2312" w:hAnsi="仿宋_GB2312" w:eastAsia="仿宋_GB2312"/>
          <w:sz w:val="28"/>
          <w:lang w:eastAsia="zh-CN"/>
        </w:rPr>
      </w:pPr>
      <w:r>
        <w:rPr>
          <w:rFonts w:ascii="仿宋_GB2312" w:hAnsi="仿宋_GB2312" w:eastAsia="仿宋_GB2312"/>
          <w:sz w:val="28"/>
          <w:highlight w:val="none"/>
          <w:lang w:eastAsia="zh-CN"/>
        </w:rPr>
        <w:t>4.</w:t>
      </w:r>
      <w:r>
        <w:rPr>
          <w:rFonts w:hint="eastAsia" w:ascii="仿宋_GB2312" w:hAnsi="仿宋_GB2312" w:eastAsia="仿宋_GB2312"/>
          <w:sz w:val="28"/>
          <w:highlight w:val="none"/>
          <w:lang w:eastAsia="zh-CN"/>
        </w:rPr>
        <w:t>3</w:t>
      </w:r>
      <w:r>
        <w:rPr>
          <w:rFonts w:ascii="仿宋_GB2312" w:hAnsi="仿宋_GB2312" w:eastAsia="仿宋_GB2312"/>
          <w:sz w:val="28"/>
          <w:highlight w:val="none"/>
          <w:lang w:eastAsia="zh-CN"/>
        </w:rPr>
        <w:t>.3.2评比委员会完成评标工作后，向比选人提交比选报告。</w:t>
      </w:r>
    </w:p>
    <w:p w14:paraId="74B94C9E">
      <w:pPr>
        <w:rPr>
          <w:rFonts w:ascii="仿宋_GB2312" w:hAnsi="仿宋_GB2312" w:eastAsia="仿宋_GB2312"/>
          <w:sz w:val="28"/>
          <w:lang w:eastAsia="zh-CN"/>
        </w:rPr>
      </w:pPr>
      <w:r>
        <w:rPr>
          <w:rFonts w:ascii="仿宋_GB2312" w:hAnsi="仿宋_GB2312" w:eastAsia="仿宋_GB2312"/>
          <w:sz w:val="28"/>
          <w:lang w:eastAsia="zh-CN"/>
        </w:rPr>
        <w:br w:type="page"/>
      </w:r>
    </w:p>
    <w:p w14:paraId="03BD48A1">
      <w:pPr>
        <w:pStyle w:val="11"/>
        <w:rPr>
          <w:lang w:eastAsia="zh-CN"/>
        </w:rPr>
      </w:pPr>
    </w:p>
    <w:p w14:paraId="0F980C74">
      <w:pPr>
        <w:pStyle w:val="2"/>
        <w:rPr>
          <w:lang w:eastAsia="zh-CN"/>
        </w:rPr>
      </w:pPr>
      <w:r>
        <w:rPr>
          <w:lang w:eastAsia="zh-CN"/>
        </w:rPr>
        <w:t>比选申请文件格式</w:t>
      </w:r>
    </w:p>
    <w:p w14:paraId="572267F3">
      <w:pPr>
        <w:pStyle w:val="15"/>
        <w:ind w:left="0" w:leftChars="0" w:firstLine="0" w:firstLineChars="0"/>
        <w:rPr>
          <w:rFonts w:ascii="仿宋_GB2312" w:hAnsi="仿宋_GB2312" w:eastAsia="仿宋_GB2312"/>
          <w:sz w:val="28"/>
          <w:lang w:eastAsia="zh-CN"/>
        </w:rPr>
      </w:pPr>
    </w:p>
    <w:p w14:paraId="5DFABCC0">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比选申请文件封面</w:t>
      </w:r>
    </w:p>
    <w:p w14:paraId="77280C08">
      <w:pPr>
        <w:pStyle w:val="15"/>
        <w:ind w:left="0" w:leftChars="0" w:firstLine="0" w:firstLineChars="0"/>
        <w:jc w:val="right"/>
        <w:rPr>
          <w:rFonts w:ascii="仿宋_GB2312" w:hAnsi="仿宋_GB2312" w:eastAsia="仿宋_GB2312"/>
          <w:sz w:val="28"/>
          <w:lang w:eastAsia="zh-CN"/>
        </w:rPr>
      </w:pPr>
      <w:r>
        <w:rPr>
          <w:rFonts w:ascii="仿宋_GB2312" w:hAnsi="仿宋_GB2312" w:eastAsia="仿宋_GB2312"/>
          <w:sz w:val="28"/>
          <w:lang w:eastAsia="zh-CN"/>
        </w:rPr>
        <w:t>正本（或副本）</w:t>
      </w:r>
    </w:p>
    <w:p w14:paraId="56627987">
      <w:pPr>
        <w:pStyle w:val="15"/>
        <w:ind w:left="0" w:leftChars="0" w:firstLine="0" w:firstLineChars="0"/>
        <w:rPr>
          <w:rFonts w:ascii="仿宋_GB2312" w:hAnsi="仿宋_GB2312" w:eastAsia="仿宋_GB2312"/>
          <w:sz w:val="28"/>
          <w:lang w:eastAsia="zh-CN"/>
        </w:rPr>
      </w:pPr>
    </w:p>
    <w:p w14:paraId="1ADD1C2B">
      <w:pPr>
        <w:jc w:val="center"/>
        <w:rPr>
          <w:b/>
          <w:bCs/>
          <w:w w:val="95"/>
          <w:sz w:val="36"/>
          <w:szCs w:val="36"/>
          <w:lang w:eastAsia="zh-CN"/>
        </w:rPr>
      </w:pPr>
      <w:r>
        <w:rPr>
          <w:b/>
          <w:bCs/>
          <w:spacing w:val="3"/>
          <w:w w:val="95"/>
          <w:sz w:val="36"/>
          <w:szCs w:val="36"/>
          <w:lang w:eastAsia="zh-CN"/>
        </w:rPr>
        <w:t>黄骅港综合港区</w:t>
      </w:r>
      <w:r>
        <w:rPr>
          <w:b/>
          <w:bCs/>
          <w:w w:val="95"/>
          <w:sz w:val="36"/>
          <w:szCs w:val="36"/>
          <w:lang w:eastAsia="zh-CN"/>
        </w:rPr>
        <w:t>9</w:t>
      </w:r>
      <w:r>
        <w:rPr>
          <w:b/>
          <w:bCs/>
          <w:spacing w:val="11"/>
          <w:w w:val="95"/>
          <w:sz w:val="36"/>
          <w:szCs w:val="36"/>
          <w:lang w:eastAsia="zh-CN"/>
        </w:rPr>
        <w:t>号</w:t>
      </w:r>
      <w:r>
        <w:rPr>
          <w:b/>
          <w:bCs/>
          <w:w w:val="95"/>
          <w:sz w:val="36"/>
          <w:szCs w:val="36"/>
          <w:lang w:eastAsia="zh-CN"/>
        </w:rPr>
        <w:t>10号通用泊位工程</w:t>
      </w:r>
    </w:p>
    <w:p w14:paraId="2F8E5538">
      <w:pPr>
        <w:jc w:val="center"/>
        <w:rPr>
          <w:b/>
          <w:bCs/>
          <w:sz w:val="36"/>
          <w:szCs w:val="36"/>
          <w:lang w:eastAsia="zh-CN"/>
        </w:rPr>
      </w:pPr>
      <w:r>
        <w:rPr>
          <w:rFonts w:hint="eastAsia"/>
          <w:b/>
          <w:bCs/>
          <w:sz w:val="36"/>
          <w:szCs w:val="36"/>
          <w:lang w:eastAsia="zh-CN"/>
        </w:rPr>
        <w:t>桩基检测（水工结构部分）</w:t>
      </w:r>
    </w:p>
    <w:p w14:paraId="026816A5">
      <w:pPr>
        <w:pStyle w:val="15"/>
        <w:ind w:left="0" w:leftChars="0" w:firstLine="0" w:firstLineChars="0"/>
        <w:rPr>
          <w:rFonts w:ascii="仿宋_GB2312" w:hAnsi="仿宋_GB2312" w:eastAsia="仿宋_GB2312"/>
          <w:sz w:val="28"/>
          <w:lang w:eastAsia="zh-CN"/>
        </w:rPr>
      </w:pPr>
    </w:p>
    <w:p w14:paraId="6E396E7D">
      <w:pPr>
        <w:pStyle w:val="11"/>
        <w:rPr>
          <w:lang w:eastAsia="zh-CN"/>
        </w:rPr>
      </w:pPr>
    </w:p>
    <w:p w14:paraId="2C50943F">
      <w:pPr>
        <w:pStyle w:val="15"/>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比</w:t>
      </w:r>
    </w:p>
    <w:p w14:paraId="2A53EF68">
      <w:pPr>
        <w:pStyle w:val="15"/>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选</w:t>
      </w:r>
    </w:p>
    <w:p w14:paraId="71143D4C">
      <w:pPr>
        <w:pStyle w:val="15"/>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申</w:t>
      </w:r>
    </w:p>
    <w:p w14:paraId="3080889E">
      <w:pPr>
        <w:pStyle w:val="15"/>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请</w:t>
      </w:r>
    </w:p>
    <w:p w14:paraId="4E05E08D">
      <w:pPr>
        <w:pStyle w:val="15"/>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文</w:t>
      </w:r>
    </w:p>
    <w:p w14:paraId="5284622E">
      <w:pPr>
        <w:pStyle w:val="15"/>
        <w:spacing w:after="0"/>
        <w:ind w:left="0" w:leftChars="0" w:firstLine="0" w:firstLineChars="0"/>
        <w:jc w:val="center"/>
        <w:rPr>
          <w:rFonts w:ascii="仿宋_GB2312" w:hAnsi="仿宋_GB2312" w:eastAsia="仿宋_GB2312"/>
          <w:sz w:val="48"/>
          <w:szCs w:val="36"/>
          <w:lang w:eastAsia="zh-CN"/>
        </w:rPr>
      </w:pPr>
      <w:r>
        <w:rPr>
          <w:rFonts w:ascii="仿宋_GB2312" w:hAnsi="仿宋_GB2312" w:eastAsia="仿宋_GB2312"/>
          <w:sz w:val="48"/>
          <w:szCs w:val="36"/>
          <w:lang w:eastAsia="zh-CN"/>
        </w:rPr>
        <w:t>件</w:t>
      </w:r>
    </w:p>
    <w:p w14:paraId="3BB75A33">
      <w:pPr>
        <w:pStyle w:val="15"/>
        <w:ind w:left="0" w:leftChars="0" w:firstLine="0" w:firstLineChars="0"/>
        <w:rPr>
          <w:rFonts w:ascii="仿宋_GB2312" w:hAnsi="仿宋_GB2312" w:eastAsia="仿宋_GB2312"/>
          <w:sz w:val="28"/>
          <w:lang w:eastAsia="zh-CN"/>
        </w:rPr>
      </w:pPr>
    </w:p>
    <w:p w14:paraId="040C280E">
      <w:pPr>
        <w:pStyle w:val="11"/>
        <w:rPr>
          <w:lang w:eastAsia="zh-CN"/>
        </w:rPr>
      </w:pPr>
    </w:p>
    <w:p w14:paraId="6169462C">
      <w:pPr>
        <w:pStyle w:val="15"/>
        <w:ind w:left="0" w:leftChars="0" w:firstLine="0" w:firstLineChars="0"/>
        <w:jc w:val="center"/>
        <w:rPr>
          <w:rFonts w:ascii="仿宋_GB2312" w:hAnsi="仿宋_GB2312" w:eastAsia="仿宋_GB2312"/>
          <w:sz w:val="28"/>
          <w:lang w:eastAsia="zh-CN"/>
        </w:rPr>
      </w:pPr>
      <w:r>
        <w:rPr>
          <w:rFonts w:ascii="仿宋_GB2312" w:hAnsi="仿宋_GB2312" w:eastAsia="仿宋_GB2312"/>
          <w:sz w:val="28"/>
          <w:lang w:eastAsia="zh-CN"/>
        </w:rPr>
        <w:t>比选申请人名称：（全称并加盖企业及法人公章）</w:t>
      </w:r>
    </w:p>
    <w:p w14:paraId="1EB602D1">
      <w:pPr>
        <w:pStyle w:val="15"/>
        <w:ind w:left="0" w:leftChars="0" w:firstLine="0" w:firstLineChars="0"/>
        <w:jc w:val="center"/>
        <w:rPr>
          <w:rFonts w:ascii="仿宋_GB2312" w:hAnsi="仿宋_GB2312" w:eastAsia="仿宋_GB2312"/>
          <w:sz w:val="28"/>
          <w:lang w:eastAsia="zh-CN"/>
        </w:rPr>
      </w:pPr>
      <w:r>
        <w:rPr>
          <w:rFonts w:hint="eastAsia" w:ascii="仿宋_GB2312" w:hAnsi="仿宋_GB2312" w:eastAsia="仿宋_GB2312"/>
          <w:sz w:val="28"/>
          <w:lang w:eastAsia="zh-CN"/>
        </w:rPr>
        <w:t xml:space="preserve">         </w:t>
      </w:r>
      <w:r>
        <w:rPr>
          <w:rFonts w:ascii="仿宋_GB2312" w:hAnsi="仿宋_GB2312" w:eastAsia="仿宋_GB2312"/>
          <w:sz w:val="28"/>
          <w:lang w:eastAsia="zh-CN"/>
        </w:rPr>
        <w:t>年</w:t>
      </w:r>
      <w:r>
        <w:rPr>
          <w:rFonts w:hint="eastAsia" w:ascii="仿宋_GB2312" w:hAnsi="仿宋_GB2312" w:eastAsia="仿宋_GB2312"/>
          <w:sz w:val="28"/>
          <w:lang w:eastAsia="zh-CN"/>
        </w:rPr>
        <w:t xml:space="preserve">   </w:t>
      </w:r>
      <w:r>
        <w:rPr>
          <w:rFonts w:ascii="仿宋_GB2312" w:hAnsi="仿宋_GB2312" w:eastAsia="仿宋_GB2312"/>
          <w:sz w:val="28"/>
          <w:lang w:eastAsia="zh-CN"/>
        </w:rPr>
        <w:t>月</w:t>
      </w:r>
      <w:r>
        <w:rPr>
          <w:rFonts w:hint="eastAsia" w:ascii="仿宋_GB2312" w:hAnsi="仿宋_GB2312" w:eastAsia="仿宋_GB2312"/>
          <w:sz w:val="28"/>
          <w:lang w:eastAsia="zh-CN"/>
        </w:rPr>
        <w:t xml:space="preserve">     </w:t>
      </w:r>
      <w:r>
        <w:rPr>
          <w:rFonts w:ascii="仿宋_GB2312" w:hAnsi="仿宋_GB2312" w:eastAsia="仿宋_GB2312"/>
          <w:sz w:val="28"/>
          <w:lang w:eastAsia="zh-CN"/>
        </w:rPr>
        <w:t>日</w:t>
      </w:r>
    </w:p>
    <w:p w14:paraId="4796D6EE">
      <w:pPr>
        <w:pStyle w:val="11"/>
        <w:rPr>
          <w:lang w:eastAsia="zh-CN"/>
        </w:rPr>
      </w:pPr>
    </w:p>
    <w:p w14:paraId="00C03B7C">
      <w:pPr>
        <w:rPr>
          <w:rFonts w:ascii="仿宋_GB2312" w:hAnsi="仿宋_GB2312" w:eastAsia="仿宋_GB2312"/>
          <w:sz w:val="28"/>
          <w:lang w:eastAsia="zh-CN"/>
        </w:rPr>
      </w:pPr>
      <w:r>
        <w:rPr>
          <w:rFonts w:ascii="仿宋_GB2312" w:hAnsi="仿宋_GB2312" w:eastAsia="仿宋_GB2312"/>
          <w:sz w:val="28"/>
          <w:lang w:eastAsia="zh-CN"/>
        </w:rPr>
        <w:br w:type="page"/>
      </w:r>
    </w:p>
    <w:p w14:paraId="69B6C169">
      <w:pPr>
        <w:pStyle w:val="15"/>
        <w:ind w:left="0" w:leftChars="0" w:firstLine="0" w:firstLineChars="0"/>
        <w:jc w:val="center"/>
        <w:rPr>
          <w:rFonts w:ascii="仿宋_GB2312" w:hAnsi="仿宋_GB2312" w:eastAsia="仿宋_GB2312"/>
          <w:b/>
          <w:bCs/>
          <w:sz w:val="40"/>
          <w:szCs w:val="28"/>
          <w:lang w:eastAsia="zh-CN"/>
        </w:rPr>
      </w:pPr>
      <w:r>
        <w:rPr>
          <w:rFonts w:ascii="仿宋_GB2312" w:hAnsi="仿宋_GB2312" w:eastAsia="仿宋_GB2312"/>
          <w:b/>
          <w:bCs/>
          <w:sz w:val="40"/>
          <w:szCs w:val="28"/>
          <w:lang w:eastAsia="zh-CN"/>
        </w:rPr>
        <w:t>目</w:t>
      </w:r>
      <w:r>
        <w:rPr>
          <w:rFonts w:hint="eastAsia" w:ascii="仿宋_GB2312" w:hAnsi="仿宋_GB2312" w:eastAsia="仿宋_GB2312"/>
          <w:b/>
          <w:bCs/>
          <w:sz w:val="40"/>
          <w:szCs w:val="28"/>
          <w:lang w:eastAsia="zh-CN"/>
        </w:rPr>
        <w:t xml:space="preserve">   </w:t>
      </w:r>
      <w:r>
        <w:rPr>
          <w:rFonts w:ascii="仿宋_GB2312" w:hAnsi="仿宋_GB2312" w:eastAsia="仿宋_GB2312"/>
          <w:b/>
          <w:bCs/>
          <w:sz w:val="40"/>
          <w:szCs w:val="28"/>
          <w:lang w:eastAsia="zh-CN"/>
        </w:rPr>
        <w:t>录</w:t>
      </w:r>
    </w:p>
    <w:p w14:paraId="2326D049">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一、比选申请函</w:t>
      </w:r>
    </w:p>
    <w:p w14:paraId="2311381E">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二、信用中国查询截图</w:t>
      </w:r>
    </w:p>
    <w:p w14:paraId="66A2A832">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三、企业营业执照</w:t>
      </w:r>
    </w:p>
    <w:p w14:paraId="091B6314">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四、拟派驻的专业人员情况汇总表</w:t>
      </w:r>
    </w:p>
    <w:p w14:paraId="7AB4B2BB">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五、报价文件</w:t>
      </w:r>
    </w:p>
    <w:p w14:paraId="0139A02E">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六、类似业绩</w:t>
      </w:r>
    </w:p>
    <w:p w14:paraId="1AC2BC16">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七、技术服务方案</w:t>
      </w:r>
    </w:p>
    <w:p w14:paraId="3BB65463">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八、比选申请人认为需要提交的其他资料</w:t>
      </w:r>
    </w:p>
    <w:p w14:paraId="5CD02860">
      <w:pPr>
        <w:rPr>
          <w:rFonts w:ascii="仿宋_GB2312" w:hAnsi="仿宋_GB2312" w:eastAsia="仿宋_GB2312"/>
          <w:sz w:val="28"/>
          <w:lang w:eastAsia="zh-CN"/>
        </w:rPr>
      </w:pPr>
      <w:r>
        <w:rPr>
          <w:rFonts w:ascii="仿宋_GB2312" w:hAnsi="仿宋_GB2312" w:eastAsia="仿宋_GB2312"/>
          <w:sz w:val="28"/>
          <w:lang w:eastAsia="zh-CN"/>
        </w:rPr>
        <w:br w:type="page"/>
      </w:r>
    </w:p>
    <w:p w14:paraId="38A9DB45">
      <w:pPr>
        <w:pStyle w:val="3"/>
        <w:numPr>
          <w:ilvl w:val="1"/>
          <w:numId w:val="0"/>
        </w:numPr>
        <w:jc w:val="center"/>
        <w:rPr>
          <w:lang w:eastAsia="zh-CN"/>
        </w:rPr>
      </w:pPr>
      <w:bookmarkStart w:id="0" w:name="_Toc4541_WPSOffice_Level1"/>
      <w:r>
        <w:rPr>
          <w:lang w:eastAsia="zh-CN"/>
        </w:rPr>
        <w:t>一、比选申请函</w:t>
      </w:r>
      <w:bookmarkEnd w:id="0"/>
    </w:p>
    <w:p w14:paraId="674DAB39">
      <w:pPr>
        <w:pStyle w:val="11"/>
        <w:tabs>
          <w:tab w:val="left" w:pos="1508"/>
          <w:tab w:val="left" w:pos="4164"/>
        </w:tabs>
        <w:spacing w:line="240" w:lineRule="auto"/>
        <w:ind w:left="366"/>
        <w:rPr>
          <w:sz w:val="28"/>
          <w:szCs w:val="28"/>
          <w:lang w:eastAsia="zh-CN"/>
        </w:rPr>
      </w:pPr>
      <w:r>
        <w:rPr>
          <w:sz w:val="28"/>
          <w:szCs w:val="28"/>
          <w:lang w:eastAsia="zh-CN"/>
        </w:rPr>
        <w:t>致：</w:t>
      </w:r>
      <w:r>
        <w:rPr>
          <w:rFonts w:hint="eastAsia" w:ascii="Times New Roman"/>
          <w:sz w:val="28"/>
          <w:szCs w:val="28"/>
          <w:u w:val="single"/>
          <w:lang w:eastAsia="zh-CN"/>
        </w:rPr>
        <w:t xml:space="preserve">    （比选人名称）      </w:t>
      </w:r>
      <w:r>
        <w:rPr>
          <w:sz w:val="28"/>
          <w:szCs w:val="28"/>
          <w:u w:val="single"/>
          <w:lang w:eastAsia="zh-CN"/>
        </w:rPr>
        <w:tab/>
      </w:r>
    </w:p>
    <w:p w14:paraId="29AE9CA6">
      <w:pPr>
        <w:pStyle w:val="11"/>
        <w:tabs>
          <w:tab w:val="left" w:pos="2187"/>
          <w:tab w:val="left" w:pos="5667"/>
        </w:tabs>
        <w:spacing w:line="418" w:lineRule="auto"/>
        <w:ind w:firstLine="560" w:firstLineChars="200"/>
        <w:rPr>
          <w:sz w:val="28"/>
          <w:szCs w:val="28"/>
          <w:lang w:eastAsia="zh-CN"/>
        </w:rPr>
      </w:pPr>
      <w:r>
        <w:rPr>
          <w:sz w:val="28"/>
          <w:szCs w:val="28"/>
          <w:lang w:eastAsia="zh-CN"/>
        </w:rPr>
        <w:t>１．我方已仔细阅读研究了</w:t>
      </w:r>
      <w:r>
        <w:rPr>
          <w:rFonts w:hint="eastAsia"/>
          <w:sz w:val="28"/>
          <w:szCs w:val="28"/>
          <w:u w:val="single"/>
          <w:lang w:eastAsia="zh-CN"/>
        </w:rPr>
        <w:t xml:space="preserve">               </w:t>
      </w:r>
      <w:r>
        <w:rPr>
          <w:spacing w:val="-3"/>
          <w:sz w:val="28"/>
          <w:szCs w:val="28"/>
          <w:lang w:eastAsia="zh-CN"/>
        </w:rPr>
        <w:t>（项目名称）比选文件</w:t>
      </w:r>
      <w:r>
        <w:rPr>
          <w:spacing w:val="-2"/>
          <w:sz w:val="28"/>
          <w:szCs w:val="28"/>
          <w:lang w:eastAsia="zh-CN"/>
        </w:rPr>
        <w:t>，自愿</w:t>
      </w:r>
      <w:r>
        <w:rPr>
          <w:sz w:val="28"/>
          <w:szCs w:val="28"/>
          <w:lang w:eastAsia="zh-CN"/>
        </w:rPr>
        <w:t>参加</w:t>
      </w:r>
      <w:r>
        <w:rPr>
          <w:rFonts w:hint="eastAsia"/>
          <w:sz w:val="28"/>
          <w:szCs w:val="28"/>
          <w:u w:val="single"/>
          <w:lang w:eastAsia="zh-CN"/>
        </w:rPr>
        <w:t xml:space="preserve">       </w:t>
      </w:r>
      <w:r>
        <w:rPr>
          <w:sz w:val="28"/>
          <w:szCs w:val="28"/>
          <w:lang w:eastAsia="zh-CN"/>
        </w:rPr>
        <w:t>的比选申请。</w:t>
      </w:r>
    </w:p>
    <w:p w14:paraId="2ABC5835">
      <w:pPr>
        <w:pStyle w:val="11"/>
        <w:tabs>
          <w:tab w:val="left" w:pos="2187"/>
          <w:tab w:val="left" w:pos="5667"/>
        </w:tabs>
        <w:spacing w:line="418" w:lineRule="auto"/>
        <w:ind w:firstLine="552" w:firstLineChars="200"/>
        <w:rPr>
          <w:sz w:val="28"/>
          <w:szCs w:val="28"/>
          <w:lang w:eastAsia="zh-CN"/>
        </w:rPr>
      </w:pPr>
      <w:r>
        <w:rPr>
          <w:spacing w:val="-2"/>
          <w:sz w:val="28"/>
          <w:szCs w:val="28"/>
          <w:lang w:eastAsia="zh-CN"/>
        </w:rPr>
        <w:t>２．我方已认真核对和检查了本比选申请文件，全部内容均真实、准</w:t>
      </w:r>
      <w:r>
        <w:rPr>
          <w:sz w:val="28"/>
          <w:szCs w:val="28"/>
          <w:lang w:eastAsia="zh-CN"/>
        </w:rPr>
        <w:t>确，我方对此负完全责任，并愿意承担由此引起的法律责任。</w:t>
      </w:r>
    </w:p>
    <w:p w14:paraId="1690C32C">
      <w:pPr>
        <w:pStyle w:val="11"/>
        <w:tabs>
          <w:tab w:val="left" w:pos="2187"/>
          <w:tab w:val="left" w:pos="5667"/>
        </w:tabs>
        <w:spacing w:line="418" w:lineRule="auto"/>
        <w:ind w:firstLine="552" w:firstLineChars="200"/>
        <w:rPr>
          <w:sz w:val="28"/>
          <w:szCs w:val="28"/>
          <w:lang w:eastAsia="zh-CN"/>
        </w:rPr>
      </w:pPr>
      <w:r>
        <w:rPr>
          <w:spacing w:val="-2"/>
          <w:sz w:val="28"/>
          <w:szCs w:val="28"/>
          <w:lang w:eastAsia="zh-CN"/>
        </w:rPr>
        <w:t>３．我方完全</w:t>
      </w:r>
      <w:r>
        <w:rPr>
          <w:sz w:val="28"/>
          <w:szCs w:val="28"/>
          <w:lang w:eastAsia="zh-CN"/>
        </w:rPr>
        <w:t>理解</w:t>
      </w:r>
      <w:r>
        <w:rPr>
          <w:spacing w:val="-2"/>
          <w:sz w:val="28"/>
          <w:szCs w:val="28"/>
          <w:lang w:eastAsia="zh-CN"/>
        </w:rPr>
        <w:t>，无论中选与否，你方均不负担我方因参加比选申</w:t>
      </w:r>
      <w:r>
        <w:rPr>
          <w:sz w:val="28"/>
          <w:szCs w:val="28"/>
          <w:lang w:eastAsia="zh-CN"/>
        </w:rPr>
        <w:t>请活动而发生的任何费用。</w:t>
      </w:r>
    </w:p>
    <w:p w14:paraId="4A9C2143">
      <w:pPr>
        <w:pStyle w:val="11"/>
        <w:tabs>
          <w:tab w:val="left" w:pos="2187"/>
          <w:tab w:val="left" w:pos="5667"/>
        </w:tabs>
        <w:spacing w:line="418" w:lineRule="auto"/>
        <w:ind w:firstLine="560" w:firstLineChars="200"/>
        <w:rPr>
          <w:sz w:val="28"/>
          <w:szCs w:val="28"/>
          <w:lang w:eastAsia="zh-CN"/>
        </w:rPr>
      </w:pPr>
      <w:r>
        <w:rPr>
          <w:sz w:val="28"/>
          <w:szCs w:val="28"/>
          <w:lang w:eastAsia="zh-CN"/>
        </w:rPr>
        <w:t>４．如我方中选：</w:t>
      </w:r>
    </w:p>
    <w:p w14:paraId="62B4DC9B">
      <w:pPr>
        <w:pStyle w:val="11"/>
        <w:tabs>
          <w:tab w:val="left" w:pos="2187"/>
          <w:tab w:val="left" w:pos="5667"/>
        </w:tabs>
        <w:spacing w:line="418" w:lineRule="auto"/>
        <w:ind w:firstLine="556" w:firstLineChars="200"/>
        <w:rPr>
          <w:sz w:val="28"/>
          <w:szCs w:val="28"/>
          <w:lang w:eastAsia="zh-CN"/>
        </w:rPr>
      </w:pPr>
      <w:r>
        <w:rPr>
          <w:spacing w:val="-1"/>
          <w:sz w:val="28"/>
          <w:szCs w:val="28"/>
          <w:lang w:eastAsia="zh-CN"/>
        </w:rPr>
        <w:t>我方</w:t>
      </w:r>
      <w:r>
        <w:rPr>
          <w:sz w:val="28"/>
          <w:szCs w:val="28"/>
          <w:lang w:eastAsia="zh-CN"/>
        </w:rPr>
        <w:t>将严格按照本比选申请文件的承诺，完成相关项目的服务工作。</w:t>
      </w:r>
    </w:p>
    <w:p w14:paraId="4F801B45">
      <w:pPr>
        <w:rPr>
          <w:lang w:eastAsia="zh-CN"/>
        </w:rPr>
      </w:pPr>
    </w:p>
    <w:p w14:paraId="00A314AA">
      <w:pPr>
        <w:pStyle w:val="11"/>
        <w:tabs>
          <w:tab w:val="left" w:pos="6188"/>
        </w:tabs>
        <w:spacing w:line="417" w:lineRule="auto"/>
        <w:ind w:right="335"/>
        <w:rPr>
          <w:sz w:val="28"/>
          <w:szCs w:val="28"/>
          <w:lang w:eastAsia="zh-CN"/>
        </w:rPr>
      </w:pPr>
      <w:r>
        <w:rPr>
          <w:sz w:val="28"/>
          <w:szCs w:val="28"/>
          <w:lang w:eastAsia="zh-CN"/>
        </w:rPr>
        <w:t>比选申请人：</w:t>
      </w:r>
      <w:r>
        <w:rPr>
          <w:rFonts w:hint="eastAsia"/>
          <w:sz w:val="28"/>
          <w:szCs w:val="28"/>
          <w:u w:val="single"/>
          <w:lang w:eastAsia="zh-CN"/>
        </w:rPr>
        <w:t xml:space="preserve">                             </w:t>
      </w:r>
      <w:r>
        <w:rPr>
          <w:sz w:val="28"/>
          <w:szCs w:val="28"/>
          <w:lang w:eastAsia="zh-CN"/>
        </w:rPr>
        <w:t>（盖单位章）</w:t>
      </w:r>
    </w:p>
    <w:p w14:paraId="0B5C7522">
      <w:pPr>
        <w:rPr>
          <w:sz w:val="28"/>
          <w:szCs w:val="28"/>
          <w:lang w:eastAsia="zh-CN"/>
        </w:rPr>
      </w:pPr>
      <w:r>
        <w:rPr>
          <w:sz w:val="28"/>
          <w:szCs w:val="28"/>
          <w:lang w:eastAsia="zh-CN"/>
        </w:rPr>
        <w:t>法定代表人或其委托代理人：</w:t>
      </w:r>
      <w:r>
        <w:rPr>
          <w:rFonts w:hint="eastAsia"/>
          <w:sz w:val="28"/>
          <w:szCs w:val="28"/>
          <w:u w:val="single"/>
          <w:lang w:eastAsia="zh-CN"/>
        </w:rPr>
        <w:t xml:space="preserve">                 </w:t>
      </w:r>
      <w:r>
        <w:rPr>
          <w:spacing w:val="-1"/>
          <w:sz w:val="28"/>
          <w:szCs w:val="28"/>
          <w:lang w:eastAsia="zh-CN"/>
        </w:rPr>
        <w:t>（</w:t>
      </w:r>
      <w:r>
        <w:rPr>
          <w:sz w:val="28"/>
          <w:szCs w:val="28"/>
          <w:lang w:eastAsia="zh-CN"/>
        </w:rPr>
        <w:t>签字或盖章）</w:t>
      </w:r>
    </w:p>
    <w:p w14:paraId="750655BE">
      <w:pPr>
        <w:pStyle w:val="11"/>
        <w:tabs>
          <w:tab w:val="left" w:pos="7448"/>
          <w:tab w:val="left" w:pos="8281"/>
        </w:tabs>
        <w:spacing w:line="417" w:lineRule="auto"/>
        <w:ind w:right="254"/>
        <w:rPr>
          <w:rFonts w:ascii="Times New Roman" w:eastAsia="Times New Roman"/>
          <w:sz w:val="28"/>
          <w:szCs w:val="28"/>
          <w:lang w:eastAsia="zh-CN"/>
        </w:rPr>
      </w:pPr>
      <w:r>
        <w:rPr>
          <w:spacing w:val="-1"/>
          <w:sz w:val="28"/>
          <w:szCs w:val="28"/>
          <w:lang w:eastAsia="zh-CN"/>
        </w:rPr>
        <w:t>地址</w:t>
      </w:r>
      <w:r>
        <w:rPr>
          <w:sz w:val="28"/>
          <w:szCs w:val="28"/>
          <w:lang w:eastAsia="zh-CN"/>
        </w:rPr>
        <w:t>：</w:t>
      </w: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r>
        <w:rPr>
          <w:rFonts w:ascii="Times New Roman" w:eastAsia="Times New Roman"/>
          <w:sz w:val="28"/>
          <w:szCs w:val="28"/>
          <w:u w:val="single"/>
          <w:lang w:eastAsia="zh-CN"/>
        </w:rPr>
        <w:tab/>
      </w:r>
    </w:p>
    <w:p w14:paraId="0F144ECD">
      <w:pPr>
        <w:pStyle w:val="11"/>
        <w:tabs>
          <w:tab w:val="left" w:pos="8233"/>
        </w:tabs>
        <w:spacing w:line="358" w:lineRule="exact"/>
        <w:rPr>
          <w:rFonts w:ascii="Times New Roman" w:eastAsia="Times New Roman"/>
          <w:sz w:val="28"/>
          <w:szCs w:val="28"/>
          <w:lang w:eastAsia="zh-CN"/>
        </w:rPr>
      </w:pPr>
      <w:r>
        <w:rPr>
          <w:spacing w:val="-1"/>
          <w:sz w:val="28"/>
          <w:szCs w:val="28"/>
          <w:lang w:eastAsia="zh-CN"/>
        </w:rPr>
        <w:t>网址</w:t>
      </w:r>
      <w:r>
        <w:rPr>
          <w:sz w:val="28"/>
          <w:szCs w:val="28"/>
          <w:lang w:eastAsia="zh-CN"/>
        </w:rPr>
        <w:t>：</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p>
    <w:p w14:paraId="191FD894">
      <w:pPr>
        <w:pStyle w:val="11"/>
        <w:tabs>
          <w:tab w:val="left" w:pos="8218"/>
        </w:tabs>
        <w:spacing w:before="71"/>
        <w:rPr>
          <w:rFonts w:ascii="Times New Roman" w:eastAsia="Times New Roman"/>
          <w:sz w:val="28"/>
          <w:szCs w:val="28"/>
          <w:lang w:eastAsia="zh-CN"/>
        </w:rPr>
      </w:pPr>
      <w:r>
        <w:rPr>
          <w:spacing w:val="-1"/>
          <w:sz w:val="28"/>
          <w:szCs w:val="28"/>
          <w:lang w:eastAsia="zh-CN"/>
        </w:rPr>
        <w:t>电话</w:t>
      </w:r>
      <w:r>
        <w:rPr>
          <w:sz w:val="28"/>
          <w:szCs w:val="28"/>
          <w:lang w:eastAsia="zh-CN"/>
        </w:rPr>
        <w:t>：</w:t>
      </w: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p>
    <w:p w14:paraId="75C471E4">
      <w:pPr>
        <w:pStyle w:val="11"/>
        <w:tabs>
          <w:tab w:val="left" w:pos="8218"/>
        </w:tabs>
        <w:spacing w:before="70"/>
        <w:rPr>
          <w:rFonts w:ascii="Times New Roman" w:eastAsia="Times New Roman"/>
          <w:sz w:val="28"/>
          <w:szCs w:val="28"/>
          <w:lang w:eastAsia="zh-CN"/>
        </w:rPr>
      </w:pPr>
      <w:r>
        <w:rPr>
          <w:spacing w:val="-1"/>
          <w:sz w:val="28"/>
          <w:szCs w:val="28"/>
          <w:lang w:eastAsia="zh-CN"/>
        </w:rPr>
        <w:t>传真</w:t>
      </w:r>
      <w:r>
        <w:rPr>
          <w:sz w:val="28"/>
          <w:szCs w:val="28"/>
          <w:lang w:eastAsia="zh-CN"/>
        </w:rPr>
        <w:t>：</w:t>
      </w:r>
      <w:r>
        <w:rPr>
          <w:rFonts w:ascii="Times New Roman" w:eastAsia="Times New Roman"/>
          <w:sz w:val="28"/>
          <w:szCs w:val="28"/>
          <w:u w:val="single"/>
          <w:lang w:eastAsia="zh-CN"/>
        </w:rPr>
        <w:t xml:space="preserve"> </w:t>
      </w:r>
      <w:r>
        <w:rPr>
          <w:rFonts w:ascii="Times New Roman" w:eastAsia="Times New Roman"/>
          <w:sz w:val="28"/>
          <w:szCs w:val="28"/>
          <w:u w:val="single"/>
          <w:lang w:eastAsia="zh-CN"/>
        </w:rPr>
        <w:tab/>
      </w:r>
    </w:p>
    <w:p w14:paraId="0C5226A7">
      <w:pPr>
        <w:pStyle w:val="11"/>
        <w:tabs>
          <w:tab w:val="left" w:pos="8557"/>
        </w:tabs>
        <w:spacing w:before="70"/>
        <w:rPr>
          <w:rFonts w:ascii="Times New Roman" w:eastAsia="Times New Roman"/>
          <w:sz w:val="28"/>
          <w:szCs w:val="28"/>
          <w:lang w:eastAsia="zh-CN"/>
        </w:rPr>
      </w:pPr>
      <w:r>
        <w:rPr>
          <w:sz w:val="28"/>
          <w:szCs w:val="28"/>
          <w:lang w:eastAsia="zh-CN"/>
        </w:rPr>
        <w:t>邮政编码：</w:t>
      </w: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rFonts w:ascii="Times New Roman" w:eastAsia="Times New Roman"/>
          <w:sz w:val="28"/>
          <w:szCs w:val="28"/>
          <w:u w:val="single"/>
          <w:lang w:eastAsia="zh-CN"/>
        </w:rPr>
        <w:tab/>
      </w:r>
    </w:p>
    <w:p w14:paraId="46A17AA8">
      <w:pPr>
        <w:pStyle w:val="11"/>
        <w:spacing w:before="9"/>
        <w:rPr>
          <w:rFonts w:ascii="Times New Roman"/>
          <w:sz w:val="28"/>
          <w:szCs w:val="28"/>
          <w:lang w:eastAsia="zh-CN"/>
        </w:rPr>
      </w:pPr>
    </w:p>
    <w:p w14:paraId="3BEB5C64">
      <w:pPr>
        <w:pStyle w:val="11"/>
        <w:tabs>
          <w:tab w:val="left" w:pos="6188"/>
          <w:tab w:val="left" w:pos="7587"/>
          <w:tab w:val="left" w:pos="8989"/>
        </w:tabs>
        <w:spacing w:before="61"/>
        <w:jc w:val="right"/>
        <w:rPr>
          <w:sz w:val="28"/>
          <w:szCs w:val="28"/>
          <w:lang w:eastAsia="zh-CN"/>
        </w:rPr>
      </w:pPr>
      <w:r>
        <w:rPr>
          <w:rFonts w:ascii="Times New Roman" w:eastAsia="Times New Roman"/>
          <w:sz w:val="28"/>
          <w:szCs w:val="28"/>
          <w:u w:val="single"/>
          <w:lang w:eastAsia="zh-CN"/>
        </w:rPr>
        <w:t xml:space="preserve"> </w:t>
      </w:r>
      <w:r>
        <w:rPr>
          <w:rFonts w:hint="eastAsia" w:ascii="Times New Roman"/>
          <w:sz w:val="28"/>
          <w:szCs w:val="28"/>
          <w:u w:val="single"/>
          <w:lang w:eastAsia="zh-CN"/>
        </w:rPr>
        <w:t xml:space="preserve">        </w:t>
      </w:r>
      <w:r>
        <w:rPr>
          <w:sz w:val="28"/>
          <w:szCs w:val="28"/>
          <w:lang w:eastAsia="zh-CN"/>
        </w:rPr>
        <w:t>年</w:t>
      </w:r>
      <w:r>
        <w:rPr>
          <w:rFonts w:hint="eastAsia" w:ascii="Times New Roman"/>
          <w:sz w:val="28"/>
          <w:szCs w:val="28"/>
          <w:u w:val="single"/>
          <w:lang w:eastAsia="zh-CN"/>
        </w:rPr>
        <w:t xml:space="preserve">      </w:t>
      </w:r>
      <w:r>
        <w:rPr>
          <w:sz w:val="28"/>
          <w:szCs w:val="28"/>
          <w:lang w:eastAsia="zh-CN"/>
        </w:rPr>
        <w:t>月</w:t>
      </w:r>
      <w:r>
        <w:rPr>
          <w:rFonts w:hint="eastAsia" w:ascii="Times New Roman"/>
          <w:sz w:val="28"/>
          <w:szCs w:val="28"/>
          <w:u w:val="single"/>
          <w:lang w:eastAsia="zh-CN"/>
        </w:rPr>
        <w:t xml:space="preserve">      </w:t>
      </w:r>
      <w:r>
        <w:rPr>
          <w:sz w:val="28"/>
          <w:szCs w:val="28"/>
          <w:lang w:eastAsia="zh-CN"/>
        </w:rPr>
        <w:t>日</w:t>
      </w:r>
    </w:p>
    <w:p w14:paraId="4F444E9B">
      <w:pPr>
        <w:rPr>
          <w:rFonts w:ascii="仿宋_GB2312" w:hAnsi="仿宋_GB2312" w:eastAsia="仿宋_GB2312"/>
          <w:sz w:val="28"/>
          <w:lang w:eastAsia="zh-CN"/>
        </w:rPr>
      </w:pPr>
      <w:r>
        <w:rPr>
          <w:rFonts w:ascii="仿宋_GB2312" w:hAnsi="仿宋_GB2312" w:eastAsia="仿宋_GB2312"/>
          <w:sz w:val="28"/>
          <w:lang w:eastAsia="zh-CN"/>
        </w:rPr>
        <w:br w:type="page"/>
      </w:r>
    </w:p>
    <w:p w14:paraId="0A8867D4">
      <w:pPr>
        <w:pStyle w:val="11"/>
        <w:rPr>
          <w:lang w:eastAsia="zh-CN"/>
        </w:rPr>
      </w:pPr>
    </w:p>
    <w:p w14:paraId="2E03E97D">
      <w:pPr>
        <w:pStyle w:val="3"/>
        <w:numPr>
          <w:ilvl w:val="1"/>
          <w:numId w:val="0"/>
        </w:numPr>
        <w:jc w:val="center"/>
        <w:rPr>
          <w:rFonts w:ascii="仿宋_GB2312" w:hAnsi="仿宋_GB2312" w:eastAsia="仿宋_GB2312"/>
          <w:lang w:eastAsia="zh-CN"/>
        </w:rPr>
      </w:pPr>
      <w:r>
        <w:rPr>
          <w:rFonts w:hint="eastAsia" w:ascii="仿宋_GB2312" w:hAnsi="仿宋_GB2312" w:eastAsia="仿宋_GB2312"/>
          <w:lang w:eastAsia="zh-CN"/>
        </w:rPr>
        <w:t>二、</w:t>
      </w:r>
      <w:r>
        <w:rPr>
          <w:rFonts w:ascii="仿宋_GB2312" w:hAnsi="仿宋_GB2312" w:eastAsia="仿宋_GB2312"/>
          <w:lang w:eastAsia="zh-CN"/>
        </w:rPr>
        <w:t>信用中国查询截图</w:t>
      </w:r>
    </w:p>
    <w:p w14:paraId="67212019">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三、企业营业执照</w:t>
      </w:r>
    </w:p>
    <w:p w14:paraId="7CD9480E">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四、拟派驻的专业人员情况汇总表</w:t>
      </w:r>
    </w:p>
    <w:tbl>
      <w:tblPr>
        <w:tblStyle w:val="16"/>
        <w:tblW w:w="9034"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15"/>
        <w:gridCol w:w="1141"/>
        <w:gridCol w:w="1588"/>
        <w:gridCol w:w="1701"/>
        <w:gridCol w:w="1418"/>
        <w:gridCol w:w="929"/>
        <w:gridCol w:w="1442"/>
      </w:tblGrid>
      <w:tr w14:paraId="520804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28" w:hRule="atLeast"/>
          <w:jc w:val="center"/>
        </w:trPr>
        <w:tc>
          <w:tcPr>
            <w:tcW w:w="815" w:type="dxa"/>
            <w:tcBorders>
              <w:bottom w:val="single" w:color="000000" w:sz="6" w:space="0"/>
              <w:right w:val="single" w:color="000000" w:sz="6" w:space="0"/>
            </w:tcBorders>
            <w:vAlign w:val="center"/>
          </w:tcPr>
          <w:p w14:paraId="36AE2D49">
            <w:pPr>
              <w:pStyle w:val="19"/>
              <w:ind w:left="82" w:right="109"/>
              <w:jc w:val="center"/>
              <w:rPr>
                <w:sz w:val="28"/>
              </w:rPr>
            </w:pPr>
            <w:r>
              <w:rPr>
                <w:sz w:val="28"/>
              </w:rPr>
              <w:t>序号</w:t>
            </w:r>
          </w:p>
        </w:tc>
        <w:tc>
          <w:tcPr>
            <w:tcW w:w="1141" w:type="dxa"/>
            <w:tcBorders>
              <w:left w:val="single" w:color="000000" w:sz="6" w:space="0"/>
              <w:bottom w:val="single" w:color="000000" w:sz="6" w:space="0"/>
              <w:right w:val="single" w:color="000000" w:sz="6" w:space="0"/>
            </w:tcBorders>
            <w:vAlign w:val="center"/>
          </w:tcPr>
          <w:p w14:paraId="530C0815">
            <w:pPr>
              <w:pStyle w:val="19"/>
              <w:ind w:left="180"/>
              <w:jc w:val="center"/>
              <w:rPr>
                <w:sz w:val="28"/>
              </w:rPr>
            </w:pPr>
            <w:r>
              <w:rPr>
                <w:spacing w:val="34"/>
                <w:sz w:val="28"/>
              </w:rPr>
              <w:t>姓 名</w:t>
            </w:r>
          </w:p>
        </w:tc>
        <w:tc>
          <w:tcPr>
            <w:tcW w:w="1588" w:type="dxa"/>
            <w:tcBorders>
              <w:left w:val="single" w:color="000000" w:sz="6" w:space="0"/>
              <w:bottom w:val="single" w:color="000000" w:sz="6" w:space="0"/>
              <w:right w:val="single" w:color="000000" w:sz="6" w:space="0"/>
            </w:tcBorders>
            <w:vAlign w:val="center"/>
          </w:tcPr>
          <w:p w14:paraId="0F9F012C">
            <w:pPr>
              <w:pStyle w:val="19"/>
              <w:spacing w:before="1" w:line="417" w:lineRule="auto"/>
              <w:ind w:left="265" w:right="86" w:hanging="135"/>
              <w:jc w:val="center"/>
              <w:rPr>
                <w:sz w:val="28"/>
              </w:rPr>
            </w:pPr>
            <w:r>
              <w:rPr>
                <w:spacing w:val="-10"/>
                <w:sz w:val="28"/>
              </w:rPr>
              <w:t>在本项目中</w:t>
            </w:r>
            <w:r>
              <w:rPr>
                <w:sz w:val="28"/>
              </w:rPr>
              <w:t>拟任职务</w:t>
            </w:r>
          </w:p>
        </w:tc>
        <w:tc>
          <w:tcPr>
            <w:tcW w:w="1701" w:type="dxa"/>
            <w:tcBorders>
              <w:left w:val="single" w:color="000000" w:sz="6" w:space="0"/>
              <w:bottom w:val="single" w:color="000000" w:sz="6" w:space="0"/>
              <w:right w:val="single" w:color="000000" w:sz="4" w:space="0"/>
            </w:tcBorders>
            <w:vAlign w:val="center"/>
          </w:tcPr>
          <w:p w14:paraId="61FCABE8">
            <w:pPr>
              <w:pStyle w:val="19"/>
              <w:spacing w:before="1" w:line="417" w:lineRule="auto"/>
              <w:ind w:left="321" w:right="145" w:hanging="135"/>
              <w:jc w:val="center"/>
              <w:rPr>
                <w:sz w:val="28"/>
              </w:rPr>
            </w:pPr>
            <w:r>
              <w:rPr>
                <w:spacing w:val="-10"/>
                <w:sz w:val="28"/>
              </w:rPr>
              <w:t>开始从事本</w:t>
            </w:r>
            <w:r>
              <w:rPr>
                <w:sz w:val="28"/>
              </w:rPr>
              <w:t>工作时间</w:t>
            </w:r>
          </w:p>
        </w:tc>
        <w:tc>
          <w:tcPr>
            <w:tcW w:w="1418" w:type="dxa"/>
            <w:tcBorders>
              <w:left w:val="single" w:color="000000" w:sz="4" w:space="0"/>
              <w:bottom w:val="single" w:color="000000" w:sz="6" w:space="0"/>
              <w:right w:val="single" w:color="000000" w:sz="6" w:space="0"/>
            </w:tcBorders>
            <w:vAlign w:val="center"/>
          </w:tcPr>
          <w:p w14:paraId="355BC297">
            <w:pPr>
              <w:pStyle w:val="19"/>
              <w:ind w:left="182"/>
              <w:jc w:val="center"/>
              <w:rPr>
                <w:sz w:val="28"/>
              </w:rPr>
            </w:pPr>
            <w:r>
              <w:rPr>
                <w:sz w:val="28"/>
              </w:rPr>
              <w:t>从事专业</w:t>
            </w:r>
          </w:p>
        </w:tc>
        <w:tc>
          <w:tcPr>
            <w:tcW w:w="929" w:type="dxa"/>
            <w:tcBorders>
              <w:left w:val="single" w:color="000000" w:sz="6" w:space="0"/>
              <w:bottom w:val="single" w:color="000000" w:sz="6" w:space="0"/>
              <w:right w:val="single" w:color="000000" w:sz="6" w:space="0"/>
            </w:tcBorders>
            <w:vAlign w:val="center"/>
          </w:tcPr>
          <w:p w14:paraId="1C44F67F">
            <w:pPr>
              <w:pStyle w:val="19"/>
              <w:spacing w:before="1" w:line="417" w:lineRule="auto"/>
              <w:ind w:left="265" w:right="86" w:hanging="135"/>
              <w:jc w:val="center"/>
              <w:rPr>
                <w:spacing w:val="-10"/>
                <w:sz w:val="28"/>
              </w:rPr>
            </w:pPr>
            <w:r>
              <w:rPr>
                <w:spacing w:val="-10"/>
                <w:sz w:val="28"/>
              </w:rPr>
              <w:t>职称</w:t>
            </w:r>
          </w:p>
        </w:tc>
        <w:tc>
          <w:tcPr>
            <w:tcW w:w="1442" w:type="dxa"/>
            <w:tcBorders>
              <w:left w:val="single" w:color="000000" w:sz="6" w:space="0"/>
              <w:bottom w:val="single" w:color="000000" w:sz="6" w:space="0"/>
              <w:right w:val="single" w:color="000000" w:sz="4" w:space="0"/>
            </w:tcBorders>
            <w:vAlign w:val="center"/>
          </w:tcPr>
          <w:p w14:paraId="1CB11F3C">
            <w:pPr>
              <w:pStyle w:val="19"/>
              <w:spacing w:before="1" w:line="417" w:lineRule="auto"/>
              <w:ind w:left="265" w:right="86" w:hanging="135"/>
              <w:jc w:val="center"/>
              <w:rPr>
                <w:spacing w:val="-10"/>
                <w:sz w:val="28"/>
                <w:lang w:eastAsia="zh-CN"/>
              </w:rPr>
            </w:pPr>
            <w:r>
              <w:rPr>
                <w:spacing w:val="-10"/>
                <w:sz w:val="28"/>
                <w:lang w:eastAsia="zh-CN"/>
              </w:rPr>
              <w:t>注册（资格）证书名称</w:t>
            </w:r>
          </w:p>
        </w:tc>
      </w:tr>
      <w:tr w14:paraId="0F43B0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188E97F2">
            <w:pPr>
              <w:pStyle w:val="19"/>
              <w:spacing w:before="133"/>
              <w:ind w:left="27"/>
              <w:jc w:val="center"/>
              <w:rPr>
                <w:sz w:val="28"/>
              </w:rPr>
            </w:pPr>
            <w:r>
              <w:rPr>
                <w:sz w:val="28"/>
              </w:rPr>
              <w:t>1</w:t>
            </w:r>
          </w:p>
        </w:tc>
        <w:tc>
          <w:tcPr>
            <w:tcW w:w="1141" w:type="dxa"/>
            <w:tcBorders>
              <w:top w:val="single" w:color="000000" w:sz="6" w:space="0"/>
              <w:left w:val="single" w:color="000000" w:sz="6" w:space="0"/>
              <w:bottom w:val="single" w:color="000000" w:sz="6" w:space="0"/>
              <w:right w:val="single" w:color="000000" w:sz="6" w:space="0"/>
            </w:tcBorders>
            <w:vAlign w:val="center"/>
          </w:tcPr>
          <w:p w14:paraId="3167E2E0">
            <w:pPr>
              <w:pStyle w:val="19"/>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79777B8C">
            <w:pPr>
              <w:pStyle w:val="19"/>
              <w:spacing w:before="133"/>
              <w:ind w:left="131"/>
              <w:jc w:val="center"/>
              <w:rPr>
                <w:sz w:val="28"/>
              </w:rPr>
            </w:pPr>
            <w:r>
              <w:rPr>
                <w:sz w:val="28"/>
              </w:rPr>
              <w:t>项目负责人</w:t>
            </w:r>
          </w:p>
        </w:tc>
        <w:tc>
          <w:tcPr>
            <w:tcW w:w="1701" w:type="dxa"/>
            <w:tcBorders>
              <w:top w:val="single" w:color="000000" w:sz="6" w:space="0"/>
              <w:left w:val="single" w:color="000000" w:sz="6" w:space="0"/>
              <w:bottom w:val="single" w:color="000000" w:sz="6" w:space="0"/>
              <w:right w:val="single" w:color="000000" w:sz="4" w:space="0"/>
            </w:tcBorders>
            <w:vAlign w:val="center"/>
          </w:tcPr>
          <w:p w14:paraId="77CB9155">
            <w:pPr>
              <w:pStyle w:val="19"/>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5793643C">
            <w:pPr>
              <w:pStyle w:val="19"/>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4C794376">
            <w:pPr>
              <w:pStyle w:val="19"/>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631DF4C2">
            <w:pPr>
              <w:pStyle w:val="19"/>
              <w:jc w:val="center"/>
              <w:rPr>
                <w:rFonts w:ascii="Times New Roman"/>
                <w:sz w:val="26"/>
              </w:rPr>
            </w:pPr>
          </w:p>
        </w:tc>
      </w:tr>
      <w:tr w14:paraId="5E5279A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32C70E44">
            <w:pPr>
              <w:pStyle w:val="19"/>
              <w:spacing w:before="133"/>
              <w:ind w:left="27"/>
              <w:jc w:val="center"/>
              <w:rPr>
                <w:sz w:val="28"/>
              </w:rPr>
            </w:pPr>
            <w:r>
              <w:rPr>
                <w:sz w:val="28"/>
              </w:rPr>
              <w:t>2</w:t>
            </w:r>
          </w:p>
        </w:tc>
        <w:tc>
          <w:tcPr>
            <w:tcW w:w="1141" w:type="dxa"/>
            <w:tcBorders>
              <w:top w:val="single" w:color="000000" w:sz="6" w:space="0"/>
              <w:left w:val="single" w:color="000000" w:sz="6" w:space="0"/>
              <w:bottom w:val="single" w:color="000000" w:sz="6" w:space="0"/>
              <w:right w:val="single" w:color="000000" w:sz="6" w:space="0"/>
            </w:tcBorders>
            <w:vAlign w:val="center"/>
          </w:tcPr>
          <w:p w14:paraId="197B0B1E">
            <w:pPr>
              <w:pStyle w:val="19"/>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20662B28">
            <w:pPr>
              <w:pStyle w:val="19"/>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0A926C49">
            <w:pPr>
              <w:pStyle w:val="19"/>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2E50DC53">
            <w:pPr>
              <w:pStyle w:val="19"/>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6F2131A5">
            <w:pPr>
              <w:pStyle w:val="19"/>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677A6A72">
            <w:pPr>
              <w:pStyle w:val="19"/>
              <w:jc w:val="center"/>
              <w:rPr>
                <w:rFonts w:ascii="Times New Roman"/>
                <w:sz w:val="26"/>
              </w:rPr>
            </w:pPr>
          </w:p>
        </w:tc>
      </w:tr>
      <w:tr w14:paraId="39FCAFD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1D118DCE">
            <w:pPr>
              <w:pStyle w:val="19"/>
              <w:spacing w:before="132"/>
              <w:ind w:left="27"/>
              <w:jc w:val="center"/>
              <w:rPr>
                <w:sz w:val="28"/>
              </w:rPr>
            </w:pPr>
            <w:r>
              <w:rPr>
                <w:sz w:val="28"/>
              </w:rPr>
              <w:t>3</w:t>
            </w:r>
          </w:p>
        </w:tc>
        <w:tc>
          <w:tcPr>
            <w:tcW w:w="1141" w:type="dxa"/>
            <w:tcBorders>
              <w:top w:val="single" w:color="000000" w:sz="6" w:space="0"/>
              <w:left w:val="single" w:color="000000" w:sz="6" w:space="0"/>
              <w:bottom w:val="single" w:color="000000" w:sz="6" w:space="0"/>
              <w:right w:val="single" w:color="000000" w:sz="6" w:space="0"/>
            </w:tcBorders>
            <w:vAlign w:val="center"/>
          </w:tcPr>
          <w:p w14:paraId="4579C9AA">
            <w:pPr>
              <w:pStyle w:val="19"/>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6C3A5094">
            <w:pPr>
              <w:pStyle w:val="19"/>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14322518">
            <w:pPr>
              <w:pStyle w:val="19"/>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62C5CFC6">
            <w:pPr>
              <w:pStyle w:val="19"/>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59C0D8C3">
            <w:pPr>
              <w:pStyle w:val="19"/>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56489804">
            <w:pPr>
              <w:pStyle w:val="19"/>
              <w:jc w:val="center"/>
              <w:rPr>
                <w:rFonts w:ascii="Times New Roman"/>
                <w:sz w:val="26"/>
              </w:rPr>
            </w:pPr>
          </w:p>
        </w:tc>
      </w:tr>
      <w:tr w14:paraId="0D505FA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2DF38608">
            <w:pPr>
              <w:pStyle w:val="19"/>
              <w:spacing w:before="134"/>
              <w:ind w:left="27"/>
              <w:jc w:val="center"/>
              <w:rPr>
                <w:sz w:val="28"/>
              </w:rPr>
            </w:pPr>
            <w:r>
              <w:rPr>
                <w:sz w:val="28"/>
              </w:rPr>
              <w:t>4</w:t>
            </w:r>
          </w:p>
        </w:tc>
        <w:tc>
          <w:tcPr>
            <w:tcW w:w="1141" w:type="dxa"/>
            <w:tcBorders>
              <w:top w:val="single" w:color="000000" w:sz="6" w:space="0"/>
              <w:left w:val="single" w:color="000000" w:sz="6" w:space="0"/>
              <w:bottom w:val="single" w:color="000000" w:sz="6" w:space="0"/>
              <w:right w:val="single" w:color="000000" w:sz="6" w:space="0"/>
            </w:tcBorders>
            <w:vAlign w:val="center"/>
          </w:tcPr>
          <w:p w14:paraId="7269A517">
            <w:pPr>
              <w:pStyle w:val="19"/>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59EF486F">
            <w:pPr>
              <w:pStyle w:val="19"/>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4BBAA583">
            <w:pPr>
              <w:pStyle w:val="19"/>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526C6E9A">
            <w:pPr>
              <w:pStyle w:val="19"/>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24DBE5E2">
            <w:pPr>
              <w:pStyle w:val="19"/>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230EE413">
            <w:pPr>
              <w:pStyle w:val="19"/>
              <w:jc w:val="center"/>
              <w:rPr>
                <w:rFonts w:ascii="Times New Roman"/>
                <w:sz w:val="26"/>
              </w:rPr>
            </w:pPr>
          </w:p>
        </w:tc>
      </w:tr>
      <w:tr w14:paraId="6C013F7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5F717C34">
            <w:pPr>
              <w:pStyle w:val="19"/>
              <w:spacing w:before="133"/>
              <w:ind w:left="27"/>
              <w:jc w:val="center"/>
              <w:rPr>
                <w:sz w:val="28"/>
              </w:rPr>
            </w:pPr>
            <w:r>
              <w:rPr>
                <w:sz w:val="28"/>
              </w:rPr>
              <w:t>5</w:t>
            </w:r>
          </w:p>
        </w:tc>
        <w:tc>
          <w:tcPr>
            <w:tcW w:w="1141" w:type="dxa"/>
            <w:tcBorders>
              <w:top w:val="single" w:color="000000" w:sz="6" w:space="0"/>
              <w:left w:val="single" w:color="000000" w:sz="6" w:space="0"/>
              <w:bottom w:val="single" w:color="000000" w:sz="6" w:space="0"/>
              <w:right w:val="single" w:color="000000" w:sz="6" w:space="0"/>
            </w:tcBorders>
            <w:vAlign w:val="center"/>
          </w:tcPr>
          <w:p w14:paraId="1FB6B321">
            <w:pPr>
              <w:pStyle w:val="19"/>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3F02C378">
            <w:pPr>
              <w:pStyle w:val="19"/>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68119B32">
            <w:pPr>
              <w:pStyle w:val="19"/>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067BCDBF">
            <w:pPr>
              <w:pStyle w:val="19"/>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5690C02C">
            <w:pPr>
              <w:pStyle w:val="19"/>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0A294323">
            <w:pPr>
              <w:pStyle w:val="19"/>
              <w:jc w:val="center"/>
              <w:rPr>
                <w:rFonts w:ascii="Times New Roman"/>
                <w:sz w:val="26"/>
              </w:rPr>
            </w:pPr>
          </w:p>
        </w:tc>
      </w:tr>
      <w:tr w14:paraId="7277728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0" w:hRule="atLeast"/>
          <w:jc w:val="center"/>
        </w:trPr>
        <w:tc>
          <w:tcPr>
            <w:tcW w:w="815" w:type="dxa"/>
            <w:tcBorders>
              <w:top w:val="single" w:color="000000" w:sz="6" w:space="0"/>
              <w:bottom w:val="single" w:color="000000" w:sz="6" w:space="0"/>
              <w:right w:val="single" w:color="000000" w:sz="6" w:space="0"/>
            </w:tcBorders>
            <w:vAlign w:val="center"/>
          </w:tcPr>
          <w:p w14:paraId="06EBFF4A">
            <w:pPr>
              <w:pStyle w:val="19"/>
              <w:spacing w:before="133"/>
              <w:ind w:left="27"/>
              <w:jc w:val="center"/>
              <w:rPr>
                <w:sz w:val="28"/>
              </w:rPr>
            </w:pPr>
            <w:r>
              <w:rPr>
                <w:sz w:val="28"/>
              </w:rPr>
              <w:t>6</w:t>
            </w:r>
          </w:p>
        </w:tc>
        <w:tc>
          <w:tcPr>
            <w:tcW w:w="1141" w:type="dxa"/>
            <w:tcBorders>
              <w:top w:val="single" w:color="000000" w:sz="6" w:space="0"/>
              <w:left w:val="single" w:color="000000" w:sz="6" w:space="0"/>
              <w:bottom w:val="single" w:color="000000" w:sz="6" w:space="0"/>
              <w:right w:val="single" w:color="000000" w:sz="6" w:space="0"/>
            </w:tcBorders>
            <w:vAlign w:val="center"/>
          </w:tcPr>
          <w:p w14:paraId="26AD6B90">
            <w:pPr>
              <w:pStyle w:val="19"/>
              <w:jc w:val="center"/>
              <w:rPr>
                <w:rFonts w:ascii="Times New Roman"/>
                <w:sz w:val="26"/>
              </w:rPr>
            </w:pPr>
          </w:p>
        </w:tc>
        <w:tc>
          <w:tcPr>
            <w:tcW w:w="1588" w:type="dxa"/>
            <w:tcBorders>
              <w:top w:val="single" w:color="000000" w:sz="6" w:space="0"/>
              <w:left w:val="single" w:color="000000" w:sz="6" w:space="0"/>
              <w:bottom w:val="single" w:color="000000" w:sz="6" w:space="0"/>
              <w:right w:val="single" w:color="000000" w:sz="6" w:space="0"/>
            </w:tcBorders>
            <w:vAlign w:val="center"/>
          </w:tcPr>
          <w:p w14:paraId="66043732">
            <w:pPr>
              <w:pStyle w:val="19"/>
              <w:jc w:val="center"/>
              <w:rPr>
                <w:rFonts w:ascii="Times New Roman"/>
                <w:sz w:val="26"/>
              </w:rPr>
            </w:pPr>
          </w:p>
        </w:tc>
        <w:tc>
          <w:tcPr>
            <w:tcW w:w="1701" w:type="dxa"/>
            <w:tcBorders>
              <w:top w:val="single" w:color="000000" w:sz="6" w:space="0"/>
              <w:left w:val="single" w:color="000000" w:sz="6" w:space="0"/>
              <w:bottom w:val="single" w:color="000000" w:sz="6" w:space="0"/>
              <w:right w:val="single" w:color="000000" w:sz="4" w:space="0"/>
            </w:tcBorders>
            <w:vAlign w:val="center"/>
          </w:tcPr>
          <w:p w14:paraId="4AC668BB">
            <w:pPr>
              <w:pStyle w:val="19"/>
              <w:jc w:val="center"/>
              <w:rPr>
                <w:rFonts w:ascii="Times New Roman"/>
                <w:sz w:val="26"/>
              </w:rPr>
            </w:pPr>
          </w:p>
        </w:tc>
        <w:tc>
          <w:tcPr>
            <w:tcW w:w="1418" w:type="dxa"/>
            <w:tcBorders>
              <w:top w:val="single" w:color="000000" w:sz="6" w:space="0"/>
              <w:left w:val="single" w:color="000000" w:sz="4" w:space="0"/>
              <w:bottom w:val="single" w:color="000000" w:sz="6" w:space="0"/>
              <w:right w:val="single" w:color="000000" w:sz="6" w:space="0"/>
            </w:tcBorders>
            <w:vAlign w:val="center"/>
          </w:tcPr>
          <w:p w14:paraId="38ACB988">
            <w:pPr>
              <w:pStyle w:val="19"/>
              <w:jc w:val="center"/>
              <w:rPr>
                <w:rFonts w:ascii="Times New Roman"/>
                <w:sz w:val="26"/>
              </w:rPr>
            </w:pPr>
          </w:p>
        </w:tc>
        <w:tc>
          <w:tcPr>
            <w:tcW w:w="929" w:type="dxa"/>
            <w:tcBorders>
              <w:top w:val="single" w:color="000000" w:sz="6" w:space="0"/>
              <w:left w:val="single" w:color="000000" w:sz="6" w:space="0"/>
              <w:bottom w:val="single" w:color="000000" w:sz="6" w:space="0"/>
              <w:right w:val="single" w:color="000000" w:sz="6" w:space="0"/>
            </w:tcBorders>
            <w:vAlign w:val="center"/>
          </w:tcPr>
          <w:p w14:paraId="555669F3">
            <w:pPr>
              <w:pStyle w:val="19"/>
              <w:jc w:val="center"/>
              <w:rPr>
                <w:rFonts w:ascii="Times New Roman"/>
                <w:sz w:val="26"/>
              </w:rPr>
            </w:pPr>
          </w:p>
        </w:tc>
        <w:tc>
          <w:tcPr>
            <w:tcW w:w="1442" w:type="dxa"/>
            <w:tcBorders>
              <w:top w:val="single" w:color="000000" w:sz="6" w:space="0"/>
              <w:left w:val="single" w:color="000000" w:sz="6" w:space="0"/>
              <w:bottom w:val="single" w:color="000000" w:sz="6" w:space="0"/>
              <w:right w:val="single" w:color="000000" w:sz="4" w:space="0"/>
            </w:tcBorders>
            <w:vAlign w:val="center"/>
          </w:tcPr>
          <w:p w14:paraId="6F2B7D6B">
            <w:pPr>
              <w:pStyle w:val="19"/>
              <w:jc w:val="center"/>
              <w:rPr>
                <w:rFonts w:ascii="Times New Roman"/>
                <w:sz w:val="26"/>
              </w:rPr>
            </w:pPr>
          </w:p>
        </w:tc>
      </w:tr>
      <w:tr w14:paraId="505D7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79" w:hRule="atLeast"/>
          <w:jc w:val="center"/>
        </w:trPr>
        <w:tc>
          <w:tcPr>
            <w:tcW w:w="815" w:type="dxa"/>
            <w:tcBorders>
              <w:top w:val="single" w:color="000000" w:sz="6" w:space="0"/>
              <w:right w:val="single" w:color="000000" w:sz="6" w:space="0"/>
            </w:tcBorders>
            <w:vAlign w:val="center"/>
          </w:tcPr>
          <w:p w14:paraId="6B7153DF">
            <w:pPr>
              <w:pStyle w:val="19"/>
              <w:spacing w:before="132"/>
              <w:ind w:left="33"/>
              <w:jc w:val="center"/>
              <w:rPr>
                <w:sz w:val="28"/>
              </w:rPr>
            </w:pPr>
            <w:r>
              <w:rPr>
                <w:sz w:val="28"/>
              </w:rPr>
              <w:t>…</w:t>
            </w:r>
          </w:p>
        </w:tc>
        <w:tc>
          <w:tcPr>
            <w:tcW w:w="1141" w:type="dxa"/>
            <w:tcBorders>
              <w:top w:val="single" w:color="000000" w:sz="6" w:space="0"/>
              <w:left w:val="single" w:color="000000" w:sz="6" w:space="0"/>
              <w:right w:val="single" w:color="000000" w:sz="6" w:space="0"/>
            </w:tcBorders>
            <w:vAlign w:val="center"/>
          </w:tcPr>
          <w:p w14:paraId="75AB8014">
            <w:pPr>
              <w:pStyle w:val="19"/>
              <w:jc w:val="center"/>
              <w:rPr>
                <w:rFonts w:ascii="Times New Roman"/>
                <w:sz w:val="26"/>
              </w:rPr>
            </w:pPr>
          </w:p>
        </w:tc>
        <w:tc>
          <w:tcPr>
            <w:tcW w:w="1588" w:type="dxa"/>
            <w:tcBorders>
              <w:top w:val="single" w:color="000000" w:sz="6" w:space="0"/>
              <w:left w:val="single" w:color="000000" w:sz="6" w:space="0"/>
              <w:right w:val="single" w:color="000000" w:sz="6" w:space="0"/>
            </w:tcBorders>
            <w:vAlign w:val="center"/>
          </w:tcPr>
          <w:p w14:paraId="4F5D7906">
            <w:pPr>
              <w:pStyle w:val="19"/>
              <w:jc w:val="center"/>
              <w:rPr>
                <w:rFonts w:ascii="Times New Roman"/>
                <w:sz w:val="26"/>
              </w:rPr>
            </w:pPr>
          </w:p>
        </w:tc>
        <w:tc>
          <w:tcPr>
            <w:tcW w:w="1701" w:type="dxa"/>
            <w:tcBorders>
              <w:top w:val="single" w:color="000000" w:sz="6" w:space="0"/>
              <w:left w:val="single" w:color="000000" w:sz="6" w:space="0"/>
              <w:right w:val="single" w:color="000000" w:sz="4" w:space="0"/>
            </w:tcBorders>
            <w:vAlign w:val="center"/>
          </w:tcPr>
          <w:p w14:paraId="4FF8BB76">
            <w:pPr>
              <w:pStyle w:val="19"/>
              <w:jc w:val="center"/>
              <w:rPr>
                <w:rFonts w:ascii="Times New Roman"/>
                <w:sz w:val="26"/>
              </w:rPr>
            </w:pPr>
          </w:p>
        </w:tc>
        <w:tc>
          <w:tcPr>
            <w:tcW w:w="1418" w:type="dxa"/>
            <w:tcBorders>
              <w:top w:val="single" w:color="000000" w:sz="6" w:space="0"/>
              <w:left w:val="single" w:color="000000" w:sz="4" w:space="0"/>
              <w:right w:val="single" w:color="000000" w:sz="6" w:space="0"/>
            </w:tcBorders>
            <w:vAlign w:val="center"/>
          </w:tcPr>
          <w:p w14:paraId="143C875F">
            <w:pPr>
              <w:pStyle w:val="19"/>
              <w:jc w:val="center"/>
              <w:rPr>
                <w:rFonts w:ascii="Times New Roman"/>
                <w:sz w:val="26"/>
              </w:rPr>
            </w:pPr>
          </w:p>
        </w:tc>
        <w:tc>
          <w:tcPr>
            <w:tcW w:w="929" w:type="dxa"/>
            <w:tcBorders>
              <w:top w:val="single" w:color="000000" w:sz="6" w:space="0"/>
              <w:left w:val="single" w:color="000000" w:sz="6" w:space="0"/>
              <w:right w:val="single" w:color="000000" w:sz="6" w:space="0"/>
            </w:tcBorders>
            <w:vAlign w:val="center"/>
          </w:tcPr>
          <w:p w14:paraId="7121F165">
            <w:pPr>
              <w:pStyle w:val="19"/>
              <w:jc w:val="center"/>
              <w:rPr>
                <w:rFonts w:ascii="Times New Roman"/>
                <w:sz w:val="26"/>
              </w:rPr>
            </w:pPr>
          </w:p>
        </w:tc>
        <w:tc>
          <w:tcPr>
            <w:tcW w:w="1442" w:type="dxa"/>
            <w:tcBorders>
              <w:top w:val="single" w:color="000000" w:sz="6" w:space="0"/>
              <w:left w:val="single" w:color="000000" w:sz="6" w:space="0"/>
              <w:right w:val="single" w:color="000000" w:sz="4" w:space="0"/>
            </w:tcBorders>
            <w:vAlign w:val="center"/>
          </w:tcPr>
          <w:p w14:paraId="3E369E23">
            <w:pPr>
              <w:pStyle w:val="19"/>
              <w:jc w:val="center"/>
              <w:rPr>
                <w:rFonts w:ascii="Times New Roman"/>
                <w:sz w:val="26"/>
              </w:rPr>
            </w:pPr>
          </w:p>
        </w:tc>
      </w:tr>
    </w:tbl>
    <w:p w14:paraId="2C517055">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注：①排在第一位的应为项目负责人。</w:t>
      </w:r>
    </w:p>
    <w:p w14:paraId="4B4F26CC">
      <w:pPr>
        <w:pStyle w:val="15"/>
        <w:ind w:left="0" w:leftChars="0" w:firstLine="280" w:firstLineChars="100"/>
        <w:rPr>
          <w:rFonts w:ascii="仿宋_GB2312" w:hAnsi="仿宋_GB2312" w:eastAsia="仿宋_GB2312"/>
          <w:sz w:val="28"/>
          <w:lang w:eastAsia="zh-CN"/>
        </w:rPr>
      </w:pPr>
      <w:r>
        <w:rPr>
          <w:rFonts w:ascii="仿宋_GB2312" w:hAnsi="仿宋_GB2312" w:eastAsia="仿宋_GB2312"/>
          <w:sz w:val="28"/>
          <w:lang w:eastAsia="zh-CN"/>
        </w:rPr>
        <w:t>②拟派驻的人员中选注一位联系人。</w:t>
      </w:r>
    </w:p>
    <w:p w14:paraId="3690499C">
      <w:pPr>
        <w:pStyle w:val="15"/>
        <w:ind w:left="0" w:leftChars="0" w:firstLine="280" w:firstLineChars="100"/>
        <w:rPr>
          <w:rFonts w:ascii="仿宋_GB2312" w:hAnsi="仿宋_GB2312" w:eastAsia="仿宋_GB2312"/>
          <w:sz w:val="28"/>
          <w:lang w:eastAsia="zh-CN"/>
        </w:rPr>
      </w:pPr>
      <w:r>
        <w:rPr>
          <w:rFonts w:ascii="仿宋_GB2312" w:hAnsi="仿宋_GB2312" w:eastAsia="仿宋_GB2312"/>
          <w:sz w:val="28"/>
          <w:lang w:eastAsia="zh-CN"/>
        </w:rPr>
        <w:t>③视情况附“职称证、岗位证书、注册证书”、养老保险手册或社保机构的缴纳证明（提供以上所有人员的</w:t>
      </w:r>
      <w:r>
        <w:rPr>
          <w:rFonts w:ascii="仿宋_GB2312" w:hAnsi="仿宋_GB2312" w:eastAsia="仿宋_GB2312"/>
          <w:sz w:val="28"/>
          <w:highlight w:val="none"/>
          <w:lang w:eastAsia="zh-CN"/>
        </w:rPr>
        <w:t xml:space="preserve"> 2023 年</w:t>
      </w:r>
      <w:r>
        <w:rPr>
          <w:rFonts w:hint="eastAsia" w:ascii="仿宋_GB2312" w:hAnsi="仿宋_GB2312" w:eastAsia="仿宋_GB2312"/>
          <w:sz w:val="28"/>
          <w:highlight w:val="none"/>
          <w:lang w:val="en-US" w:eastAsia="zh-CN"/>
        </w:rPr>
        <w:t xml:space="preserve"> 9 </w:t>
      </w:r>
      <w:r>
        <w:rPr>
          <w:rFonts w:ascii="仿宋_GB2312" w:hAnsi="仿宋_GB2312" w:eastAsia="仿宋_GB2312"/>
          <w:sz w:val="28"/>
          <w:highlight w:val="none"/>
          <w:lang w:eastAsia="zh-CN"/>
        </w:rPr>
        <w:t>月</w:t>
      </w:r>
      <w:r>
        <w:rPr>
          <w:rFonts w:ascii="仿宋_GB2312" w:hAnsi="仿宋_GB2312" w:eastAsia="仿宋_GB2312"/>
          <w:sz w:val="28"/>
          <w:lang w:eastAsia="zh-CN"/>
        </w:rPr>
        <w:t>至比选评比日任意连续 6 个月的养老保险缴纳证明。）</w:t>
      </w:r>
    </w:p>
    <w:p w14:paraId="5864B5EB">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五、报价文件</w:t>
      </w:r>
    </w:p>
    <w:p w14:paraId="2AA3E6D1">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六、类似业绩</w:t>
      </w:r>
    </w:p>
    <w:p w14:paraId="6CDAAFB9">
      <w:pPr>
        <w:pStyle w:val="15"/>
        <w:ind w:left="0" w:leftChars="0" w:firstLine="0" w:firstLineChars="0"/>
        <w:jc w:val="center"/>
        <w:rPr>
          <w:rFonts w:ascii="仿宋_GB2312" w:hAnsi="仿宋_GB2312" w:eastAsia="仿宋_GB2312"/>
          <w:sz w:val="28"/>
          <w:lang w:eastAsia="zh-CN"/>
        </w:rPr>
      </w:pPr>
      <w:r>
        <w:rPr>
          <w:rFonts w:ascii="仿宋_GB2312" w:hAnsi="仿宋_GB2312" w:eastAsia="仿宋_GB2312"/>
          <w:sz w:val="28"/>
          <w:lang w:eastAsia="zh-CN"/>
        </w:rPr>
        <w:t>（</w:t>
      </w:r>
      <w:r>
        <w:rPr>
          <w:rFonts w:ascii="仿宋_GB2312" w:hAnsi="仿宋_GB2312" w:eastAsia="仿宋_GB2312"/>
          <w:sz w:val="28"/>
          <w:highlight w:val="none"/>
          <w:lang w:eastAsia="zh-CN"/>
        </w:rPr>
        <w:t>2019 年</w:t>
      </w:r>
      <w:r>
        <w:rPr>
          <w:rFonts w:hint="eastAsia" w:ascii="仿宋_GB2312" w:hAnsi="仿宋_GB2312" w:eastAsia="仿宋_GB2312"/>
          <w:sz w:val="28"/>
          <w:highlight w:val="none"/>
          <w:lang w:val="en-US" w:eastAsia="zh-CN"/>
        </w:rPr>
        <w:t xml:space="preserve"> 9</w:t>
      </w:r>
      <w:r>
        <w:rPr>
          <w:rFonts w:ascii="仿宋_GB2312" w:hAnsi="仿宋_GB2312" w:eastAsia="仿宋_GB2312"/>
          <w:sz w:val="28"/>
          <w:highlight w:val="none"/>
          <w:lang w:eastAsia="zh-CN"/>
        </w:rPr>
        <w:t xml:space="preserve"> 月 1 </w:t>
      </w:r>
      <w:r>
        <w:rPr>
          <w:rFonts w:ascii="仿宋_GB2312" w:hAnsi="仿宋_GB2312" w:eastAsia="仿宋_GB2312"/>
          <w:sz w:val="28"/>
          <w:lang w:eastAsia="zh-CN"/>
        </w:rPr>
        <w:t>日至今）</w:t>
      </w:r>
    </w:p>
    <w:tbl>
      <w:tblPr>
        <w:tblStyle w:val="16"/>
        <w:tblW w:w="9197" w:type="dxa"/>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05"/>
        <w:gridCol w:w="2210"/>
        <w:gridCol w:w="1519"/>
        <w:gridCol w:w="1613"/>
        <w:gridCol w:w="1502"/>
        <w:gridCol w:w="1048"/>
      </w:tblGrid>
      <w:tr w14:paraId="118ED6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jc w:val="center"/>
        </w:trPr>
        <w:tc>
          <w:tcPr>
            <w:tcW w:w="1305" w:type="dxa"/>
            <w:tcBorders>
              <w:bottom w:val="single" w:color="000000" w:sz="6" w:space="0"/>
              <w:right w:val="single" w:color="000000" w:sz="6" w:space="0"/>
            </w:tcBorders>
            <w:vAlign w:val="center"/>
          </w:tcPr>
          <w:p w14:paraId="1C943735">
            <w:pPr>
              <w:pStyle w:val="19"/>
              <w:spacing w:before="134"/>
              <w:ind w:left="248"/>
              <w:jc w:val="center"/>
              <w:rPr>
                <w:sz w:val="20"/>
              </w:rPr>
            </w:pPr>
            <w:r>
              <w:rPr>
                <w:spacing w:val="-9"/>
                <w:sz w:val="28"/>
              </w:rPr>
              <w:t>合同签</w:t>
            </w:r>
          </w:p>
          <w:p w14:paraId="7D16AE6A">
            <w:pPr>
              <w:pStyle w:val="19"/>
              <w:ind w:left="248"/>
              <w:jc w:val="center"/>
              <w:rPr>
                <w:sz w:val="28"/>
              </w:rPr>
            </w:pPr>
            <w:r>
              <w:rPr>
                <w:spacing w:val="-9"/>
                <w:sz w:val="28"/>
              </w:rPr>
              <w:t>订时间</w:t>
            </w:r>
          </w:p>
        </w:tc>
        <w:tc>
          <w:tcPr>
            <w:tcW w:w="2210" w:type="dxa"/>
            <w:tcBorders>
              <w:left w:val="single" w:color="000000" w:sz="6" w:space="0"/>
              <w:bottom w:val="single" w:color="000000" w:sz="6" w:space="0"/>
              <w:right w:val="single" w:color="000000" w:sz="6" w:space="0"/>
            </w:tcBorders>
            <w:vAlign w:val="center"/>
          </w:tcPr>
          <w:p w14:paraId="6A2E0141">
            <w:pPr>
              <w:pStyle w:val="19"/>
              <w:spacing w:before="1"/>
              <w:ind w:left="575"/>
              <w:jc w:val="both"/>
              <w:rPr>
                <w:sz w:val="28"/>
              </w:rPr>
            </w:pPr>
            <w:r>
              <w:rPr>
                <w:sz w:val="28"/>
              </w:rPr>
              <w:t>项目名称</w:t>
            </w:r>
          </w:p>
        </w:tc>
        <w:tc>
          <w:tcPr>
            <w:tcW w:w="1519" w:type="dxa"/>
            <w:tcBorders>
              <w:left w:val="single" w:color="000000" w:sz="6" w:space="0"/>
              <w:bottom w:val="single" w:color="000000" w:sz="6" w:space="0"/>
              <w:right w:val="single" w:color="000000" w:sz="6" w:space="0"/>
            </w:tcBorders>
            <w:vAlign w:val="center"/>
          </w:tcPr>
          <w:p w14:paraId="01F3186C">
            <w:pPr>
              <w:pStyle w:val="19"/>
              <w:spacing w:before="1"/>
              <w:ind w:left="230"/>
              <w:jc w:val="center"/>
              <w:rPr>
                <w:sz w:val="28"/>
              </w:rPr>
            </w:pPr>
            <w:r>
              <w:rPr>
                <w:sz w:val="28"/>
              </w:rPr>
              <w:t>业主单位</w:t>
            </w:r>
          </w:p>
        </w:tc>
        <w:tc>
          <w:tcPr>
            <w:tcW w:w="1613" w:type="dxa"/>
            <w:tcBorders>
              <w:left w:val="single" w:color="000000" w:sz="6" w:space="0"/>
              <w:bottom w:val="single" w:color="000000" w:sz="6" w:space="0"/>
              <w:right w:val="single" w:color="000000" w:sz="6" w:space="0"/>
            </w:tcBorders>
            <w:vAlign w:val="center"/>
          </w:tcPr>
          <w:p w14:paraId="65FC99BC">
            <w:pPr>
              <w:pStyle w:val="19"/>
              <w:spacing w:before="134"/>
              <w:ind w:left="98" w:right="59"/>
              <w:jc w:val="center"/>
              <w:rPr>
                <w:sz w:val="28"/>
              </w:rPr>
            </w:pPr>
            <w:r>
              <w:rPr>
                <w:sz w:val="28"/>
              </w:rPr>
              <w:t>业主联系人及电话</w:t>
            </w:r>
          </w:p>
        </w:tc>
        <w:tc>
          <w:tcPr>
            <w:tcW w:w="1502" w:type="dxa"/>
            <w:tcBorders>
              <w:left w:val="single" w:color="000000" w:sz="6" w:space="0"/>
              <w:bottom w:val="single" w:color="000000" w:sz="6" w:space="0"/>
              <w:right w:val="single" w:color="000000" w:sz="6" w:space="0"/>
            </w:tcBorders>
            <w:vAlign w:val="center"/>
          </w:tcPr>
          <w:p w14:paraId="26A2AB79">
            <w:pPr>
              <w:pStyle w:val="19"/>
              <w:spacing w:before="134"/>
              <w:ind w:left="220"/>
              <w:jc w:val="center"/>
              <w:rPr>
                <w:sz w:val="28"/>
              </w:rPr>
            </w:pPr>
            <w:r>
              <w:rPr>
                <w:spacing w:val="-10"/>
                <w:sz w:val="28"/>
              </w:rPr>
              <w:t>合同金额（</w:t>
            </w:r>
            <w:r>
              <w:rPr>
                <w:spacing w:val="-9"/>
                <w:sz w:val="28"/>
              </w:rPr>
              <w:t>万元）</w:t>
            </w:r>
          </w:p>
        </w:tc>
        <w:tc>
          <w:tcPr>
            <w:tcW w:w="1048" w:type="dxa"/>
            <w:tcBorders>
              <w:left w:val="single" w:color="000000" w:sz="6" w:space="0"/>
              <w:bottom w:val="single" w:color="000000" w:sz="6" w:space="0"/>
            </w:tcBorders>
            <w:vAlign w:val="center"/>
          </w:tcPr>
          <w:p w14:paraId="49991A32">
            <w:pPr>
              <w:pStyle w:val="19"/>
              <w:spacing w:before="1"/>
              <w:ind w:left="261"/>
              <w:jc w:val="center"/>
              <w:rPr>
                <w:sz w:val="28"/>
              </w:rPr>
            </w:pPr>
            <w:r>
              <w:rPr>
                <w:sz w:val="28"/>
              </w:rPr>
              <w:t>备注</w:t>
            </w:r>
          </w:p>
        </w:tc>
      </w:tr>
      <w:tr w14:paraId="19884A6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bottom w:val="single" w:color="000000" w:sz="6" w:space="0"/>
              <w:right w:val="single" w:color="000000" w:sz="6" w:space="0"/>
            </w:tcBorders>
            <w:vAlign w:val="center"/>
          </w:tcPr>
          <w:p w14:paraId="2FD3E3EC">
            <w:pPr>
              <w:pStyle w:val="19"/>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6EDB9FF6">
            <w:pPr>
              <w:pStyle w:val="19"/>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7A94884A">
            <w:pPr>
              <w:pStyle w:val="19"/>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2F3D7CB0">
            <w:pPr>
              <w:pStyle w:val="19"/>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64E544E0">
            <w:pPr>
              <w:pStyle w:val="19"/>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4A903684">
            <w:pPr>
              <w:pStyle w:val="19"/>
              <w:jc w:val="center"/>
              <w:rPr>
                <w:rFonts w:ascii="Times New Roman"/>
                <w:sz w:val="28"/>
              </w:rPr>
            </w:pPr>
          </w:p>
        </w:tc>
      </w:tr>
      <w:tr w14:paraId="08FEF92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1C9C4E0E">
            <w:pPr>
              <w:pStyle w:val="19"/>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336B3EBC">
            <w:pPr>
              <w:pStyle w:val="19"/>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34528F5C">
            <w:pPr>
              <w:pStyle w:val="19"/>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5E5286D3">
            <w:pPr>
              <w:pStyle w:val="19"/>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1F0B34A8">
            <w:pPr>
              <w:pStyle w:val="19"/>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0BEFC902">
            <w:pPr>
              <w:pStyle w:val="19"/>
              <w:jc w:val="center"/>
              <w:rPr>
                <w:rFonts w:ascii="Times New Roman"/>
                <w:sz w:val="28"/>
              </w:rPr>
            </w:pPr>
          </w:p>
        </w:tc>
      </w:tr>
      <w:tr w14:paraId="029AE60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38A8A262">
            <w:pPr>
              <w:pStyle w:val="19"/>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386A6E4E">
            <w:pPr>
              <w:pStyle w:val="19"/>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661684F8">
            <w:pPr>
              <w:pStyle w:val="19"/>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8F807BF">
            <w:pPr>
              <w:pStyle w:val="19"/>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2E4DE236">
            <w:pPr>
              <w:pStyle w:val="19"/>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7CEBF174">
            <w:pPr>
              <w:pStyle w:val="19"/>
              <w:jc w:val="center"/>
              <w:rPr>
                <w:rFonts w:ascii="Times New Roman"/>
                <w:sz w:val="28"/>
              </w:rPr>
            </w:pPr>
          </w:p>
        </w:tc>
      </w:tr>
      <w:tr w14:paraId="26781AA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0B7864C1">
            <w:pPr>
              <w:pStyle w:val="19"/>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24BE0666">
            <w:pPr>
              <w:pStyle w:val="19"/>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29085010">
            <w:pPr>
              <w:pStyle w:val="19"/>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3EF43850">
            <w:pPr>
              <w:pStyle w:val="19"/>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3A2123A0">
            <w:pPr>
              <w:pStyle w:val="19"/>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24608918">
            <w:pPr>
              <w:pStyle w:val="19"/>
              <w:jc w:val="center"/>
              <w:rPr>
                <w:rFonts w:ascii="Times New Roman"/>
                <w:sz w:val="28"/>
              </w:rPr>
            </w:pPr>
          </w:p>
        </w:tc>
      </w:tr>
      <w:tr w14:paraId="1BCF20D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bottom w:val="single" w:color="000000" w:sz="6" w:space="0"/>
              <w:right w:val="single" w:color="000000" w:sz="6" w:space="0"/>
            </w:tcBorders>
            <w:vAlign w:val="center"/>
          </w:tcPr>
          <w:p w14:paraId="68A2AC8A">
            <w:pPr>
              <w:pStyle w:val="19"/>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43C2155B">
            <w:pPr>
              <w:pStyle w:val="19"/>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07BA1B21">
            <w:pPr>
              <w:pStyle w:val="19"/>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9AF7704">
            <w:pPr>
              <w:pStyle w:val="19"/>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2B758682">
            <w:pPr>
              <w:pStyle w:val="19"/>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56B5E997">
            <w:pPr>
              <w:pStyle w:val="19"/>
              <w:jc w:val="center"/>
              <w:rPr>
                <w:rFonts w:ascii="Times New Roman"/>
                <w:sz w:val="28"/>
              </w:rPr>
            </w:pPr>
          </w:p>
        </w:tc>
      </w:tr>
      <w:tr w14:paraId="4DA0D6D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8" w:hRule="atLeast"/>
          <w:jc w:val="center"/>
        </w:trPr>
        <w:tc>
          <w:tcPr>
            <w:tcW w:w="1305" w:type="dxa"/>
            <w:tcBorders>
              <w:top w:val="single" w:color="000000" w:sz="6" w:space="0"/>
              <w:bottom w:val="single" w:color="000000" w:sz="6" w:space="0"/>
              <w:right w:val="single" w:color="000000" w:sz="6" w:space="0"/>
            </w:tcBorders>
            <w:vAlign w:val="center"/>
          </w:tcPr>
          <w:p w14:paraId="742ADF65">
            <w:pPr>
              <w:pStyle w:val="19"/>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2BC90DFE">
            <w:pPr>
              <w:pStyle w:val="19"/>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5B2A9D1E">
            <w:pPr>
              <w:pStyle w:val="19"/>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0CDA6B8E">
            <w:pPr>
              <w:pStyle w:val="19"/>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325CF064">
            <w:pPr>
              <w:pStyle w:val="19"/>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327F02F2">
            <w:pPr>
              <w:pStyle w:val="19"/>
              <w:jc w:val="center"/>
              <w:rPr>
                <w:rFonts w:ascii="Times New Roman"/>
                <w:sz w:val="28"/>
              </w:rPr>
            </w:pPr>
          </w:p>
        </w:tc>
      </w:tr>
      <w:tr w14:paraId="1F7A54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bottom w:val="single" w:color="000000" w:sz="6" w:space="0"/>
              <w:right w:val="single" w:color="000000" w:sz="6" w:space="0"/>
            </w:tcBorders>
            <w:vAlign w:val="center"/>
          </w:tcPr>
          <w:p w14:paraId="2E5F5A57">
            <w:pPr>
              <w:pStyle w:val="19"/>
              <w:jc w:val="center"/>
              <w:rPr>
                <w:rFonts w:ascii="Times New Roman"/>
                <w:sz w:val="28"/>
              </w:rPr>
            </w:pPr>
          </w:p>
        </w:tc>
        <w:tc>
          <w:tcPr>
            <w:tcW w:w="2210" w:type="dxa"/>
            <w:tcBorders>
              <w:top w:val="single" w:color="000000" w:sz="6" w:space="0"/>
              <w:left w:val="single" w:color="000000" w:sz="6" w:space="0"/>
              <w:bottom w:val="single" w:color="000000" w:sz="6" w:space="0"/>
              <w:right w:val="single" w:color="000000" w:sz="6" w:space="0"/>
            </w:tcBorders>
            <w:vAlign w:val="center"/>
          </w:tcPr>
          <w:p w14:paraId="1B1979B9">
            <w:pPr>
              <w:pStyle w:val="19"/>
              <w:jc w:val="center"/>
              <w:rPr>
                <w:rFonts w:ascii="Times New Roman"/>
                <w:sz w:val="28"/>
              </w:rPr>
            </w:pPr>
          </w:p>
        </w:tc>
        <w:tc>
          <w:tcPr>
            <w:tcW w:w="1519" w:type="dxa"/>
            <w:tcBorders>
              <w:top w:val="single" w:color="000000" w:sz="6" w:space="0"/>
              <w:left w:val="single" w:color="000000" w:sz="6" w:space="0"/>
              <w:bottom w:val="single" w:color="000000" w:sz="6" w:space="0"/>
              <w:right w:val="single" w:color="000000" w:sz="6" w:space="0"/>
            </w:tcBorders>
            <w:vAlign w:val="center"/>
          </w:tcPr>
          <w:p w14:paraId="3B5F77F0">
            <w:pPr>
              <w:pStyle w:val="19"/>
              <w:jc w:val="center"/>
              <w:rPr>
                <w:rFonts w:ascii="Times New Roman"/>
                <w:sz w:val="28"/>
              </w:rPr>
            </w:pPr>
          </w:p>
        </w:tc>
        <w:tc>
          <w:tcPr>
            <w:tcW w:w="1613" w:type="dxa"/>
            <w:tcBorders>
              <w:top w:val="single" w:color="000000" w:sz="6" w:space="0"/>
              <w:left w:val="single" w:color="000000" w:sz="6" w:space="0"/>
              <w:bottom w:val="single" w:color="000000" w:sz="6" w:space="0"/>
              <w:right w:val="single" w:color="000000" w:sz="6" w:space="0"/>
            </w:tcBorders>
            <w:vAlign w:val="center"/>
          </w:tcPr>
          <w:p w14:paraId="588901D6">
            <w:pPr>
              <w:pStyle w:val="19"/>
              <w:jc w:val="center"/>
              <w:rPr>
                <w:rFonts w:ascii="Times New Roman"/>
                <w:sz w:val="28"/>
              </w:rPr>
            </w:pPr>
          </w:p>
        </w:tc>
        <w:tc>
          <w:tcPr>
            <w:tcW w:w="1502" w:type="dxa"/>
            <w:tcBorders>
              <w:top w:val="single" w:color="000000" w:sz="6" w:space="0"/>
              <w:left w:val="single" w:color="000000" w:sz="6" w:space="0"/>
              <w:bottom w:val="single" w:color="000000" w:sz="6" w:space="0"/>
              <w:right w:val="single" w:color="000000" w:sz="6" w:space="0"/>
            </w:tcBorders>
            <w:vAlign w:val="center"/>
          </w:tcPr>
          <w:p w14:paraId="1B184BCE">
            <w:pPr>
              <w:pStyle w:val="19"/>
              <w:jc w:val="center"/>
              <w:rPr>
                <w:rFonts w:ascii="Times New Roman"/>
                <w:sz w:val="28"/>
              </w:rPr>
            </w:pPr>
          </w:p>
        </w:tc>
        <w:tc>
          <w:tcPr>
            <w:tcW w:w="1048" w:type="dxa"/>
            <w:tcBorders>
              <w:top w:val="single" w:color="000000" w:sz="6" w:space="0"/>
              <w:left w:val="single" w:color="000000" w:sz="6" w:space="0"/>
              <w:bottom w:val="single" w:color="000000" w:sz="6" w:space="0"/>
            </w:tcBorders>
            <w:vAlign w:val="center"/>
          </w:tcPr>
          <w:p w14:paraId="0E20E83E">
            <w:pPr>
              <w:pStyle w:val="19"/>
              <w:jc w:val="center"/>
              <w:rPr>
                <w:rFonts w:ascii="Times New Roman"/>
                <w:sz w:val="28"/>
              </w:rPr>
            </w:pPr>
          </w:p>
        </w:tc>
      </w:tr>
      <w:tr w14:paraId="1870E6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jc w:val="center"/>
        </w:trPr>
        <w:tc>
          <w:tcPr>
            <w:tcW w:w="1305" w:type="dxa"/>
            <w:tcBorders>
              <w:top w:val="single" w:color="000000" w:sz="6" w:space="0"/>
              <w:right w:val="single" w:color="000000" w:sz="6" w:space="0"/>
            </w:tcBorders>
            <w:vAlign w:val="center"/>
          </w:tcPr>
          <w:p w14:paraId="32FB873B">
            <w:pPr>
              <w:pStyle w:val="19"/>
              <w:jc w:val="center"/>
              <w:rPr>
                <w:rFonts w:ascii="Times New Roman"/>
                <w:sz w:val="28"/>
              </w:rPr>
            </w:pPr>
          </w:p>
        </w:tc>
        <w:tc>
          <w:tcPr>
            <w:tcW w:w="2210" w:type="dxa"/>
            <w:tcBorders>
              <w:top w:val="single" w:color="000000" w:sz="6" w:space="0"/>
              <w:left w:val="single" w:color="000000" w:sz="6" w:space="0"/>
              <w:right w:val="single" w:color="000000" w:sz="6" w:space="0"/>
            </w:tcBorders>
            <w:vAlign w:val="center"/>
          </w:tcPr>
          <w:p w14:paraId="767FB035">
            <w:pPr>
              <w:pStyle w:val="19"/>
              <w:jc w:val="center"/>
              <w:rPr>
                <w:rFonts w:ascii="Times New Roman"/>
                <w:sz w:val="28"/>
              </w:rPr>
            </w:pPr>
          </w:p>
        </w:tc>
        <w:tc>
          <w:tcPr>
            <w:tcW w:w="1519" w:type="dxa"/>
            <w:tcBorders>
              <w:top w:val="single" w:color="000000" w:sz="6" w:space="0"/>
              <w:left w:val="single" w:color="000000" w:sz="6" w:space="0"/>
              <w:right w:val="single" w:color="000000" w:sz="6" w:space="0"/>
            </w:tcBorders>
            <w:vAlign w:val="center"/>
          </w:tcPr>
          <w:p w14:paraId="1B97CFED">
            <w:pPr>
              <w:pStyle w:val="19"/>
              <w:jc w:val="center"/>
              <w:rPr>
                <w:rFonts w:ascii="Times New Roman"/>
                <w:sz w:val="28"/>
              </w:rPr>
            </w:pPr>
          </w:p>
        </w:tc>
        <w:tc>
          <w:tcPr>
            <w:tcW w:w="1613" w:type="dxa"/>
            <w:tcBorders>
              <w:top w:val="single" w:color="000000" w:sz="6" w:space="0"/>
              <w:left w:val="single" w:color="000000" w:sz="6" w:space="0"/>
              <w:right w:val="single" w:color="000000" w:sz="6" w:space="0"/>
            </w:tcBorders>
            <w:vAlign w:val="center"/>
          </w:tcPr>
          <w:p w14:paraId="2A107584">
            <w:pPr>
              <w:pStyle w:val="19"/>
              <w:jc w:val="center"/>
              <w:rPr>
                <w:rFonts w:ascii="Times New Roman"/>
                <w:sz w:val="28"/>
              </w:rPr>
            </w:pPr>
          </w:p>
        </w:tc>
        <w:tc>
          <w:tcPr>
            <w:tcW w:w="1502" w:type="dxa"/>
            <w:tcBorders>
              <w:top w:val="single" w:color="000000" w:sz="6" w:space="0"/>
              <w:left w:val="single" w:color="000000" w:sz="6" w:space="0"/>
              <w:right w:val="single" w:color="000000" w:sz="6" w:space="0"/>
            </w:tcBorders>
            <w:vAlign w:val="center"/>
          </w:tcPr>
          <w:p w14:paraId="54790831">
            <w:pPr>
              <w:pStyle w:val="19"/>
              <w:jc w:val="center"/>
              <w:rPr>
                <w:rFonts w:ascii="Times New Roman"/>
                <w:sz w:val="28"/>
              </w:rPr>
            </w:pPr>
          </w:p>
        </w:tc>
        <w:tc>
          <w:tcPr>
            <w:tcW w:w="1048" w:type="dxa"/>
            <w:tcBorders>
              <w:top w:val="single" w:color="000000" w:sz="6" w:space="0"/>
              <w:left w:val="single" w:color="000000" w:sz="6" w:space="0"/>
            </w:tcBorders>
            <w:vAlign w:val="center"/>
          </w:tcPr>
          <w:p w14:paraId="423C2554">
            <w:pPr>
              <w:pStyle w:val="19"/>
              <w:jc w:val="center"/>
              <w:rPr>
                <w:rFonts w:ascii="Times New Roman"/>
                <w:sz w:val="28"/>
              </w:rPr>
            </w:pPr>
          </w:p>
        </w:tc>
      </w:tr>
    </w:tbl>
    <w:p w14:paraId="3E374995">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注：①比选申请人只需填写规定时限内的业绩；超出规定时限的，比选人不予考虑。</w:t>
      </w:r>
    </w:p>
    <w:p w14:paraId="6A0EBB6F">
      <w:pPr>
        <w:pStyle w:val="15"/>
        <w:ind w:left="0" w:leftChars="0" w:firstLine="0" w:firstLineChars="0"/>
        <w:rPr>
          <w:rFonts w:ascii="仿宋_GB2312" w:hAnsi="仿宋_GB2312" w:eastAsia="仿宋_GB2312"/>
          <w:sz w:val="28"/>
          <w:lang w:eastAsia="zh-CN"/>
        </w:rPr>
      </w:pPr>
      <w:r>
        <w:rPr>
          <w:rFonts w:ascii="仿宋_GB2312" w:hAnsi="仿宋_GB2312" w:eastAsia="仿宋_GB2312"/>
          <w:sz w:val="28"/>
          <w:lang w:eastAsia="zh-CN"/>
        </w:rPr>
        <w:t>②后附检测合同扫描件，否则不予认可。</w:t>
      </w:r>
    </w:p>
    <w:p w14:paraId="52397727">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七、技术服务方案</w:t>
      </w:r>
    </w:p>
    <w:p w14:paraId="019CE73E">
      <w:pPr>
        <w:pStyle w:val="3"/>
        <w:numPr>
          <w:ilvl w:val="1"/>
          <w:numId w:val="0"/>
        </w:numPr>
        <w:jc w:val="center"/>
        <w:rPr>
          <w:rFonts w:ascii="仿宋_GB2312" w:hAnsi="仿宋_GB2312" w:eastAsia="仿宋_GB2312"/>
          <w:lang w:eastAsia="zh-CN"/>
        </w:rPr>
      </w:pPr>
      <w:r>
        <w:rPr>
          <w:rFonts w:ascii="仿宋_GB2312" w:hAnsi="仿宋_GB2312" w:eastAsia="仿宋_GB2312"/>
          <w:lang w:eastAsia="zh-CN"/>
        </w:rPr>
        <w:t>八、比选申请人认为需要提交的其他资料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07847"/>
    <w:multiLevelType w:val="multilevel"/>
    <w:tmpl w:val="91007847"/>
    <w:lvl w:ilvl="0" w:tentative="0">
      <w:start w:val="1"/>
      <w:numFmt w:val="chineseCounting"/>
      <w:pStyle w:val="2"/>
      <w:suff w:val="nothing"/>
      <w:lvlText w:val="第%1章 "/>
      <w:lvlJc w:val="left"/>
      <w:pPr>
        <w:ind w:left="432" w:hanging="432"/>
      </w:pPr>
      <w:rPr>
        <w:rFonts w:hint="eastAsia"/>
      </w:rPr>
    </w:lvl>
    <w:lvl w:ilvl="1" w:tentative="0">
      <w:start w:val="1"/>
      <w:numFmt w:val="decimal"/>
      <w:pStyle w:val="3"/>
      <w:isLgl/>
      <w:lvlText w:val="%1.%2."/>
      <w:lvlJc w:val="left"/>
      <w:pPr>
        <w:ind w:left="123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864" w:hanging="864"/>
      </w:pPr>
      <w:rPr>
        <w:rFonts w:hint="eastAsia"/>
      </w:rPr>
    </w:lvl>
    <w:lvl w:ilvl="4" w:tentative="0">
      <w:start w:val="1"/>
      <w:numFmt w:val="decimal"/>
      <w:pStyle w:val="6"/>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ZDA1YjkwNzY4NTM1ZjU0ZDFjMmUxNWVmOTZkOWYifQ=="/>
  </w:docVars>
  <w:rsids>
    <w:rsidRoot w:val="00172A27"/>
    <w:rsid w:val="000D1854"/>
    <w:rsid w:val="001675E5"/>
    <w:rsid w:val="00172A27"/>
    <w:rsid w:val="00255FB9"/>
    <w:rsid w:val="00364011"/>
    <w:rsid w:val="007E30F1"/>
    <w:rsid w:val="008872DF"/>
    <w:rsid w:val="00B41186"/>
    <w:rsid w:val="00FB24F5"/>
    <w:rsid w:val="02241011"/>
    <w:rsid w:val="07676C57"/>
    <w:rsid w:val="0E9C093C"/>
    <w:rsid w:val="12D62954"/>
    <w:rsid w:val="1983745C"/>
    <w:rsid w:val="2116254A"/>
    <w:rsid w:val="22021499"/>
    <w:rsid w:val="221F3E0B"/>
    <w:rsid w:val="253740F3"/>
    <w:rsid w:val="2BA07E21"/>
    <w:rsid w:val="35077373"/>
    <w:rsid w:val="36BC6E8B"/>
    <w:rsid w:val="3C0234BA"/>
    <w:rsid w:val="3D5F7538"/>
    <w:rsid w:val="508C7057"/>
    <w:rsid w:val="56202C10"/>
    <w:rsid w:val="566A4AF4"/>
    <w:rsid w:val="5A5116F7"/>
    <w:rsid w:val="5BBC6E89"/>
    <w:rsid w:val="637A3C74"/>
    <w:rsid w:val="65D6783B"/>
    <w:rsid w:val="696E6454"/>
    <w:rsid w:val="6BAD56DA"/>
    <w:rsid w:val="70250660"/>
    <w:rsid w:val="70E60BB4"/>
    <w:rsid w:val="72E8538E"/>
    <w:rsid w:val="7DA30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numPr>
        <w:ilvl w:val="0"/>
        <w:numId w:val="1"/>
      </w:numPr>
      <w:spacing w:line="360" w:lineRule="auto"/>
      <w:jc w:val="center"/>
      <w:outlineLvl w:val="0"/>
    </w:pPr>
    <w:rPr>
      <w:rFonts w:eastAsia="黑体"/>
      <w:b/>
      <w:sz w:val="44"/>
      <w:szCs w:val="44"/>
    </w:rPr>
  </w:style>
  <w:style w:type="paragraph" w:styleId="3">
    <w:name w:val="heading 2"/>
    <w:basedOn w:val="1"/>
    <w:next w:val="1"/>
    <w:unhideWhenUsed/>
    <w:qFormat/>
    <w:uiPriority w:val="0"/>
    <w:pPr>
      <w:keepNext/>
      <w:keepLines/>
      <w:numPr>
        <w:ilvl w:val="1"/>
        <w:numId w:val="1"/>
      </w:numPr>
      <w:spacing w:line="360" w:lineRule="auto"/>
      <w:outlineLvl w:val="1"/>
    </w:pPr>
    <w:rPr>
      <w:rFonts w:ascii="Arial" w:hAnsi="Arial"/>
      <w:b/>
      <w:sz w:val="28"/>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qFormat/>
    <w:uiPriority w:val="0"/>
    <w:pPr>
      <w:spacing w:line="360" w:lineRule="auto"/>
    </w:pPr>
  </w:style>
  <w:style w:type="paragraph" w:styleId="12">
    <w:name w:val="Body Text Indent"/>
    <w:basedOn w:val="1"/>
    <w:qFormat/>
    <w:uiPriority w:val="0"/>
    <w:pPr>
      <w:ind w:firstLine="2640" w:firstLineChars="600"/>
    </w:pPr>
    <w:rPr>
      <w:sz w:val="44"/>
    </w:rPr>
  </w:style>
  <w:style w:type="paragraph" w:styleId="13">
    <w:name w:val="footer"/>
    <w:basedOn w:val="1"/>
    <w:link w:val="21"/>
    <w:qFormat/>
    <w:uiPriority w:val="0"/>
    <w:pPr>
      <w:tabs>
        <w:tab w:val="center" w:pos="4153"/>
        <w:tab w:val="right" w:pos="8306"/>
      </w:tabs>
      <w:snapToGrid w:val="0"/>
    </w:pPr>
    <w:rPr>
      <w:sz w:val="18"/>
      <w:szCs w:val="18"/>
    </w:rPr>
  </w:style>
  <w:style w:type="paragraph" w:styleId="14">
    <w:name w:val="header"/>
    <w:basedOn w:val="1"/>
    <w:link w:val="20"/>
    <w:qFormat/>
    <w:uiPriority w:val="0"/>
    <w:pPr>
      <w:tabs>
        <w:tab w:val="center" w:pos="4153"/>
        <w:tab w:val="right" w:pos="8306"/>
      </w:tabs>
      <w:snapToGrid w:val="0"/>
      <w:jc w:val="center"/>
    </w:pPr>
    <w:rPr>
      <w:sz w:val="18"/>
      <w:szCs w:val="18"/>
    </w:rPr>
  </w:style>
  <w:style w:type="paragraph" w:styleId="15">
    <w:name w:val="Body Text First Indent 2"/>
    <w:basedOn w:val="12"/>
    <w:next w:val="11"/>
    <w:qFormat/>
    <w:uiPriority w:val="0"/>
    <w:pPr>
      <w:spacing w:after="120"/>
      <w:ind w:left="420" w:leftChars="200" w:firstLine="420" w:firstLineChars="200"/>
    </w:pPr>
    <w:rPr>
      <w:rFonts w:ascii="Calibri" w:hAnsi="Calibri" w:cs="Calibri"/>
      <w:sz w:val="21"/>
      <w:szCs w:val="21"/>
    </w:rPr>
  </w:style>
  <w:style w:type="character" w:styleId="18">
    <w:name w:val="Hyperlink"/>
    <w:basedOn w:val="17"/>
    <w:qFormat/>
    <w:uiPriority w:val="0"/>
    <w:rPr>
      <w:color w:val="0000FF"/>
      <w:u w:val="single"/>
    </w:rPr>
  </w:style>
  <w:style w:type="paragraph" w:customStyle="1" w:styleId="19">
    <w:name w:val="Table Paragraph"/>
    <w:basedOn w:val="1"/>
    <w:qFormat/>
    <w:uiPriority w:val="1"/>
  </w:style>
  <w:style w:type="character" w:customStyle="1" w:styleId="20">
    <w:name w:val="页眉 字符"/>
    <w:basedOn w:val="17"/>
    <w:link w:val="14"/>
    <w:qFormat/>
    <w:uiPriority w:val="0"/>
    <w:rPr>
      <w:rFonts w:ascii="宋体" w:hAnsi="宋体" w:eastAsia="宋体" w:cs="宋体"/>
      <w:sz w:val="18"/>
      <w:szCs w:val="18"/>
      <w:lang w:eastAsia="en-US"/>
    </w:rPr>
  </w:style>
  <w:style w:type="character" w:customStyle="1" w:styleId="21">
    <w:name w:val="页脚 字符"/>
    <w:basedOn w:val="17"/>
    <w:link w:val="13"/>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6031</Words>
  <Characters>6688</Characters>
  <Lines>53</Lines>
  <Paragraphs>15</Paragraphs>
  <TotalTime>4745</TotalTime>
  <ScaleCrop>false</ScaleCrop>
  <LinksUpToDate>false</LinksUpToDate>
  <CharactersWithSpaces>7015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2024-07-31T05:39:00Z</dcterms:created>
  <dc:creator>张雨雷</dc:creator>
  <cp:lastModifiedBy>涵</cp:lastModifiedBy>
  <cp:lastPrinted>2024-09-09T08:33:00Z</cp:lastPrinted>
  <dcterms:modified xsi:type="dcterms:W3CDTF">2024-09-24T05:40:48Z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5B354CB414734AA89EC1D8C632BD6858_13</vt:lpwstr>
  </property>
</Properties>
</file>